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1C" w:rsidRDefault="003B301C" w:rsidP="003B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О применении ККТ и формировании кассового чека (БСО) при расчетах за жилищно-коммунальные услуги, в том числе при осуществлении расчетов покупателей (клиентов) через агента (платежного агента).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Ответ:</w:t>
      </w:r>
    </w:p>
    <w:p w:rsidR="003B301C" w:rsidRDefault="003B301C" w:rsidP="003B301C">
      <w:pPr>
        <w:keepNext w:val="0"/>
        <w:keepLines w:val="0"/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ФИНАНСОВ РОССИЙСКОЙ ФЕДЕРАЦИИ</w:t>
      </w:r>
    </w:p>
    <w:p w:rsidR="003B301C" w:rsidRDefault="003B301C" w:rsidP="003B301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3B301C" w:rsidRDefault="003B301C" w:rsidP="003B301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ФЕДЕРАЛЬНАЯ НАЛОГОВАЯ СЛУЖБА</w:t>
      </w:r>
    </w:p>
    <w:p w:rsidR="003B301C" w:rsidRDefault="003B301C" w:rsidP="003B301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3B301C" w:rsidRDefault="003B301C" w:rsidP="003B301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ПИСЬМО</w:t>
      </w:r>
    </w:p>
    <w:p w:rsidR="003B301C" w:rsidRDefault="003B301C" w:rsidP="003B301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21 января 2021 г. N АБ-4-20/605@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Федеральная налоговая служба рассмотрела обращение от 21.12.2020 и сообщает следующее.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Законодательство Российской Федерации о применении контрольно-кассовой техники состоит из Федерального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22.05.2003 N 54-ФЗ "О применении контрольно-кассовой техники при осуществлении расчетов в Российской Федерации" (далее - Федеральный закон N 54-ФЗ) и принятых в соответствии с ним нормативных правовых актов.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1.2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54-ФЗ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N 54-ФЗ.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Положениями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статьи 1.1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54-ФЗ определен термин "расчеты", под которым понимаются, в частности, прием (получение) и выплата денежных средств в виде предварительной оплаты и (или) авансов, зачет и возврат предварительной оплаты и (или) авансов, предоставление и погашение займов для оплаты товаров, работ, услуг (включая осуществление ломбардами кредитования граждан под залог принадлежащих гражданам вещей и деятельности по хранению вещей</w:t>
      </w:r>
      <w:proofErr w:type="gramEnd"/>
      <w:r>
        <w:rPr>
          <w:rFonts w:ascii="Arial" w:hAnsi="Arial" w:cs="Arial"/>
          <w:sz w:val="20"/>
          <w:szCs w:val="20"/>
        </w:rPr>
        <w:t>) либо предоставление или получение иного встречного предоставления за товары, работы, услуги.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обязанность по применению контрольно-кассовой техники зависит от того, кто является получателем денежных средств за жилищно-коммунальные услуги от покупателя (клиента).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денежные средства поступают от клиентов в счет оплаты за жилое помещение и (или) коммунальные услуги на расчетный счет управляющей компании, то контрольно-кассовую технику применяет указанная организация. Если денежные средства поступают от клиентов в счет оплаты поставленных ресурсов (услуг) на расчетный счет </w:t>
      </w:r>
      <w:proofErr w:type="spellStart"/>
      <w:r>
        <w:rPr>
          <w:rFonts w:ascii="Arial" w:hAnsi="Arial" w:cs="Arial"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организации, то контрольно-кассовая техника применяется указанной организацией. </w:t>
      </w:r>
      <w:proofErr w:type="gramStart"/>
      <w:r>
        <w:rPr>
          <w:rFonts w:ascii="Arial" w:hAnsi="Arial" w:cs="Arial"/>
          <w:sz w:val="20"/>
          <w:szCs w:val="20"/>
        </w:rPr>
        <w:t>При приеме платежей физических лиц, направленных на исполнение денежных обязательств перед поставщиком по оплате товаров (работ, услуг), в том числе при внесении платы за жилое помещение и коммунальные услуги, контрольно-кассовая техника применяется платежными агентами (платежными субагентами, банковскими платежными агентами, банковскими платежными субагентами), заключившими с поставщиком услуг договор об осуществлении деятельности по приему платежей.</w:t>
      </w:r>
      <w:proofErr w:type="gramEnd"/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формировании кассового чека (бланка строгой отчетности), в частности заполнении и отражении в кассовом чеке отдельных реквизитов (тегов), следует руководствоваться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ФНС России от 14.09.2020 N ЕД-7-20/662@ "Об утверждении дополнительных реквизитов фискальных документов и форматов фискальных документов, обязательных к использованию" (далее - приказ ФНС России).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N 54-ФЗ под предоставлением кредита (займа) для оплаты товаров, работ или услуг следует понимать предоставление организацией (индивидуальным предпринимателем) покупателю (клиенту) отсрочки или рассрочки по оплате за товары, работы или услуги.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Таким образом, предоставление кредита (займа) следует рассматривать как изменение срока выполнения обязательства по предоставлению денежных средств в рамках осуществления расчетов (например, по договору купли-продажи), а именно: передача денежных средств покупателем (клиентом) продавцу позднее получения товара (работы, услуги), а не в момент такой передачи, либо как изменение порядка оплаты, при котором последняя производится не в полной сумме расчета, а по частям.</w:t>
      </w:r>
      <w:proofErr w:type="gramEnd"/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Соответственно, погашением кредита (займов) является исполнение обязательства по оплате покупателем (клиентом) полученных ранее товаров, работ или услуг в рамках осуществляемых расчетов.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 изложенное, значение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"Передача в кредит"</w:t>
        </w:r>
      </w:hyperlink>
      <w:r>
        <w:rPr>
          <w:rFonts w:ascii="Arial" w:hAnsi="Arial" w:cs="Arial"/>
          <w:sz w:val="20"/>
          <w:szCs w:val="20"/>
        </w:rPr>
        <w:t xml:space="preserve"> в реквизите "Признак способа расчета" (тег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1214</w:t>
        </w:r>
      </w:hyperlink>
      <w:r>
        <w:rPr>
          <w:rFonts w:ascii="Arial" w:hAnsi="Arial" w:cs="Arial"/>
          <w:sz w:val="20"/>
          <w:szCs w:val="20"/>
        </w:rPr>
        <w:t>) указывается в кассовом чеке (бланке строгой отчетности) в момент передачи предмета расчета без его оплаты.</w:t>
      </w:r>
    </w:p>
    <w:p w:rsidR="003B301C" w:rsidRP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B301C">
        <w:rPr>
          <w:rFonts w:ascii="Arial" w:hAnsi="Arial" w:cs="Arial"/>
          <w:b/>
          <w:sz w:val="20"/>
          <w:szCs w:val="20"/>
        </w:rPr>
        <w:t xml:space="preserve">Таким образом, </w:t>
      </w:r>
      <w:proofErr w:type="spellStart"/>
      <w:r w:rsidRPr="003B301C"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 w:rsidRPr="003B301C">
        <w:rPr>
          <w:rFonts w:ascii="Arial" w:hAnsi="Arial" w:cs="Arial"/>
          <w:b/>
          <w:sz w:val="20"/>
          <w:szCs w:val="20"/>
        </w:rPr>
        <w:t xml:space="preserve"> организацией применяется контрольно-кассовая техника и формируется кассовый чек (бланк строгой отчетности) с указанием в нем признака способа расчета (тег </w:t>
      </w:r>
      <w:hyperlink r:id="rId11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1214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) "Передача предмета расчета без его оплаты в момент его передачи с последующей оплатой в кредит" (значение </w:t>
      </w:r>
      <w:hyperlink r:id="rId12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"6"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) и других обязательных реквизитов, указанных в </w:t>
      </w:r>
      <w:hyperlink r:id="rId13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статье 4.7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 Федерального закона N 54-ФЗ, при фактическом отражении операций о предоставленных услугах покупателю</w:t>
      </w:r>
      <w:proofErr w:type="gramEnd"/>
      <w:r w:rsidRPr="003B301C">
        <w:rPr>
          <w:rFonts w:ascii="Arial" w:hAnsi="Arial" w:cs="Arial"/>
          <w:b/>
          <w:sz w:val="20"/>
          <w:szCs w:val="20"/>
        </w:rPr>
        <w:t xml:space="preserve"> (клиенту) в регистрах бухгалтерского учета организации с учетом действующей учетной политики в пределах расчетного периода.</w:t>
      </w:r>
    </w:p>
    <w:p w:rsidR="003B301C" w:rsidRP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B301C">
        <w:rPr>
          <w:rFonts w:ascii="Arial" w:hAnsi="Arial" w:cs="Arial"/>
          <w:b/>
          <w:sz w:val="20"/>
          <w:szCs w:val="20"/>
        </w:rPr>
        <w:t xml:space="preserve">При конечном расчете необходимо формировать кассовый чек (бланк строгой отчетности) с признаком способа расчета (тег </w:t>
      </w:r>
      <w:hyperlink r:id="rId14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1214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) "Оплата предмета расчета после его передачи с оплатой в кредит (оплата кредита)" (значение </w:t>
      </w:r>
      <w:hyperlink r:id="rId15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"7"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), содержащий обязательные реквизиты, указанные в </w:t>
      </w:r>
      <w:hyperlink r:id="rId16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статье 4.7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 Федерального закона N 54-ФЗ, с учетом положений </w:t>
      </w:r>
      <w:hyperlink r:id="rId17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пункта 5.10 статьи 1.2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 Федерального закона N 54-ФЗ.</w:t>
      </w:r>
      <w:proofErr w:type="gramEnd"/>
    </w:p>
    <w:p w:rsidR="003B301C" w:rsidRP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B301C">
        <w:rPr>
          <w:rFonts w:ascii="Arial" w:hAnsi="Arial" w:cs="Arial"/>
          <w:b/>
          <w:sz w:val="20"/>
          <w:szCs w:val="20"/>
        </w:rPr>
        <w:t xml:space="preserve">При осуществлении расчетов покупателей (клиентов) через агента (платежного агента), принимающего плату за жилое помещение и (или) коммунальные услуги, последние применяют контрольно-кассовую технику и, учитывая, что агент может не обладать информацией об основании совершения данного платежа (например, полная или частичная оплата, внесение средств авансом), формируют кассовый чек с отражением в нем признака способа расчета (тег </w:t>
      </w:r>
      <w:hyperlink r:id="rId18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1214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) "Полный расчет" (значение </w:t>
      </w:r>
      <w:hyperlink r:id="rId19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"4"</w:t>
        </w:r>
      </w:hyperlink>
      <w:r w:rsidRPr="003B301C">
        <w:rPr>
          <w:rFonts w:ascii="Arial" w:hAnsi="Arial" w:cs="Arial"/>
          <w:b/>
          <w:sz w:val="20"/>
          <w:szCs w:val="20"/>
        </w:rPr>
        <w:t>) и</w:t>
      </w:r>
      <w:proofErr w:type="gramEnd"/>
      <w:r w:rsidRPr="003B301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B301C">
        <w:rPr>
          <w:rFonts w:ascii="Arial" w:hAnsi="Arial" w:cs="Arial"/>
          <w:b/>
          <w:sz w:val="20"/>
          <w:szCs w:val="20"/>
        </w:rPr>
        <w:t>содержащий</w:t>
      </w:r>
      <w:proofErr w:type="gramEnd"/>
      <w:r w:rsidRPr="003B301C">
        <w:rPr>
          <w:rFonts w:ascii="Arial" w:hAnsi="Arial" w:cs="Arial"/>
          <w:b/>
          <w:sz w:val="20"/>
          <w:szCs w:val="20"/>
        </w:rPr>
        <w:t xml:space="preserve"> другие обязательные реквизиты, указанные в </w:t>
      </w:r>
      <w:hyperlink r:id="rId20" w:history="1">
        <w:r w:rsidRPr="003B301C">
          <w:rPr>
            <w:rFonts w:ascii="Arial" w:hAnsi="Arial" w:cs="Arial"/>
            <w:b/>
            <w:color w:val="0000FF"/>
            <w:sz w:val="20"/>
            <w:szCs w:val="20"/>
          </w:rPr>
          <w:t>статье 4.7</w:t>
        </w:r>
      </w:hyperlink>
      <w:r w:rsidRPr="003B301C">
        <w:rPr>
          <w:rFonts w:ascii="Arial" w:hAnsi="Arial" w:cs="Arial"/>
          <w:b/>
          <w:sz w:val="20"/>
          <w:szCs w:val="20"/>
        </w:rPr>
        <w:t xml:space="preserve"> Федерального закона N 54-ФЗ.</w:t>
      </w:r>
    </w:p>
    <w:p w:rsidR="003B301C" w:rsidRDefault="003B301C" w:rsidP="003B30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Одновременно сообщаем, что примеры формирования фискальных документов при агентской схеме и формирования кассового чека (бланка строгой отчетности) при предоставлении рассрочки платежа описаны в методических указаниях по формированию фискальных документов, размещенных на сайте ФНС России (https://kkt-online.nalog.ru) в разделе "Методические указания".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Государственный советник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класса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А.В.БУДАРИН</w:t>
      </w:r>
    </w:p>
    <w:p w:rsidR="003B301C" w:rsidRDefault="003B301C" w:rsidP="003B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21.01.2021</w:t>
      </w:r>
    </w:p>
    <w:p w:rsidR="0018719B" w:rsidRDefault="0018719B"/>
    <w:sectPr w:rsidR="0018719B" w:rsidSect="00647A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1C"/>
    <w:rsid w:val="0018719B"/>
    <w:rsid w:val="002347FF"/>
    <w:rsid w:val="003B301C"/>
    <w:rsid w:val="00563A41"/>
    <w:rsid w:val="009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7FB30ECAF088D4D18F1C847CA85CFCF856EA491609B038CC32F402AA11C06237865A663165437959CC8E497E3E2I" TargetMode="External"/><Relationship Id="rId13" Type="http://schemas.openxmlformats.org/officeDocument/2006/relationships/hyperlink" Target="consultantplus://offline/ref=5FF7FB30ECAF088D4D18F1C847CA85CFCF856EA491609B038CC32F402AA11C0631783DAF65184163CDC69FE9973AE43E28D3535B0FE7E2I" TargetMode="External"/><Relationship Id="rId18" Type="http://schemas.openxmlformats.org/officeDocument/2006/relationships/hyperlink" Target="consultantplus://offline/ref=5FF7FB30ECAF088D4D18F1C847CA85CFCF8564A191629B038CC32F402AA11C0631783DAA611D4B369E899EB5D166F73C28D3515213712419E3EB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FF7FB30ECAF088D4D18F1C847CA85CFCF8564A191629B038CC32F402AA11C06237865A663165437959CC8E497E3E2I" TargetMode="External"/><Relationship Id="rId12" Type="http://schemas.openxmlformats.org/officeDocument/2006/relationships/hyperlink" Target="consultantplus://offline/ref=5FF7FB30ECAF088D4D18F1C847CA85CFCF8564A191629B038CC32F402AA11C0631783DAA611B4C3498899EB5D166F73C28D3515213712419E3EBI" TargetMode="External"/><Relationship Id="rId17" Type="http://schemas.openxmlformats.org/officeDocument/2006/relationships/hyperlink" Target="consultantplus://offline/ref=5FF7FB30ECAF088D4D18F1C847CA85CFCF856EA491609B038CC32F402AA11C0631783DAC60164163CDC69FE9973AE43E28D3535B0FE7E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F7FB30ECAF088D4D18F1C847CA85CFCF856EA491609B038CC32F402AA11C0631783DAF65184163CDC69FE9973AE43E28D3535B0FE7E2I" TargetMode="External"/><Relationship Id="rId20" Type="http://schemas.openxmlformats.org/officeDocument/2006/relationships/hyperlink" Target="consultantplus://offline/ref=5FF7FB30ECAF088D4D18F1C847CA85CFCF856EA491609B038CC32F402AA11C0631783DAF65184163CDC69FE9973AE43E28D3535B0FE7E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7FB30ECAF088D4D18F1C847CA85CFCF856EA491609B038CC32F402AA11C0631783DA3641D4163CDC69FE9973AE43E28D3535B0FE7E2I" TargetMode="External"/><Relationship Id="rId11" Type="http://schemas.openxmlformats.org/officeDocument/2006/relationships/hyperlink" Target="consultantplus://offline/ref=5FF7FB30ECAF088D4D18F1C847CA85CFCF8564A191629B038CC32F402AA11C0631783DAA611D4B369E899EB5D166F73C28D3515213712419E3EBI" TargetMode="External"/><Relationship Id="rId5" Type="http://schemas.openxmlformats.org/officeDocument/2006/relationships/hyperlink" Target="consultantplus://offline/ref=5FF7FB30ECAF088D4D18F1C847CA85CFCF856EA491609B038CC32F402AA11C0631783DAE63194163CDC69FE9973AE43E28D3535B0FE7E2I" TargetMode="External"/><Relationship Id="rId15" Type="http://schemas.openxmlformats.org/officeDocument/2006/relationships/hyperlink" Target="consultantplus://offline/ref=5FF7FB30ECAF088D4D18F1C847CA85CFCF8564A191629B038CC32F402AA11C0631783DAA611B4C349B899EB5D166F73C28D3515213712419E3EBI" TargetMode="External"/><Relationship Id="rId10" Type="http://schemas.openxmlformats.org/officeDocument/2006/relationships/hyperlink" Target="consultantplus://offline/ref=5FF7FB30ECAF088D4D18F1C847CA85CFCF8564A191629B038CC32F402AA11C0631783DAA611D4B369E899EB5D166F73C28D3515213712419E3EBI" TargetMode="External"/><Relationship Id="rId19" Type="http://schemas.openxmlformats.org/officeDocument/2006/relationships/hyperlink" Target="consultantplus://offline/ref=5FF7FB30ECAF088D4D18F1C847CA85CFCF8564A191629B038CC32F402AA11C0631783DAA611B4C3594899EB5D166F73C28D3515213712419E3EBI" TargetMode="External"/><Relationship Id="rId4" Type="http://schemas.openxmlformats.org/officeDocument/2006/relationships/hyperlink" Target="consultantplus://offline/ref=5FF7FB30ECAF088D4D18F1C847CA85CFCF856EA491609B038CC32F402AA11C06237865A663165437959CC8E497E3E2I" TargetMode="External"/><Relationship Id="rId9" Type="http://schemas.openxmlformats.org/officeDocument/2006/relationships/hyperlink" Target="consultantplus://offline/ref=5FF7FB30ECAF088D4D18F1C847CA85CFCF8564A191629B038CC32F402AA11C0631783DAA611B4C349A899EB5D166F73C28D3515213712419E3EBI" TargetMode="External"/><Relationship Id="rId14" Type="http://schemas.openxmlformats.org/officeDocument/2006/relationships/hyperlink" Target="consultantplus://offline/ref=5FF7FB30ECAF088D4D18F1C847CA85CFCF8564A191629B038CC32F402AA11C0631783DAA611D4B369E899EB5D166F73C28D3515213712419E3E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1</cp:revision>
  <dcterms:created xsi:type="dcterms:W3CDTF">2021-09-29T08:37:00Z</dcterms:created>
  <dcterms:modified xsi:type="dcterms:W3CDTF">2021-09-29T08:43:00Z</dcterms:modified>
</cp:coreProperties>
</file>