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3301D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 предоставлен </w:t>
      </w:r>
      <w:hyperlink r:id="rId4" w:history="1">
        <w:r w:rsidRPr="00E3301D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  <w:r w:rsidRPr="00E3301D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3301D">
        <w:rPr>
          <w:rFonts w:ascii="Calibri" w:eastAsia="Times New Roman" w:hAnsi="Calibri" w:cs="Calibri"/>
          <w:b/>
          <w:szCs w:val="20"/>
          <w:lang w:eastAsia="ru-RU"/>
        </w:rPr>
        <w:t>МОСКОВСКИЙ ГОРОДСКОЙ СУД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3301D">
        <w:rPr>
          <w:rFonts w:ascii="Calibri" w:eastAsia="Times New Roman" w:hAnsi="Calibri" w:cs="Calibri"/>
          <w:b/>
          <w:szCs w:val="20"/>
          <w:lang w:eastAsia="ru-RU"/>
        </w:rPr>
        <w:t>АПЕЛЛЯЦИОННОЕ ОПРЕДЕЛЕНИЕ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3301D">
        <w:rPr>
          <w:rFonts w:ascii="Calibri" w:eastAsia="Times New Roman" w:hAnsi="Calibri" w:cs="Calibri"/>
          <w:b/>
          <w:szCs w:val="20"/>
          <w:lang w:eastAsia="ru-RU"/>
        </w:rPr>
        <w:t>от 14 ноября 2019 г. по делу N 33-51057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Судья Леденева Е.В.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Судебная коллегия по гражданским делам Московского городского суда в составе председательствующего судьи Суменковой И.С.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и судей Гусевой О.Г., Свиренко О.В.,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при помощнике судьи Родиной Н.Н.,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заслушав в открытом судебном заседании по докладу судьи Гусевой О.Г. дело N 2-4390/2019 по апелляционной жалобе истца Б.П. на решение Хорошевского районного суда г. Москвы от 31 июля 2019 года, которым отказано в удовлетворении исковых требований Б.П. к ООО "СКС УК" об обязании зачесть в счет оплаты будущих платежей за водоснабжение и водоотведение излишне уплаченные денежные средства, взыскании штрафа, компенсации морального вреда,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установила: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истец Б.П. обратился в суд с иском к ответчику ООО "СКС УК" об обязании зачесть в счет оплаты будущих платежей за водоснабжение и водоотведение излишне уплаченные денежные средства, взыскании штрафа, компенсации морального вреда, указав в обоснование своих требований, что в связи с уточнением показаний счетчиков он обратился в ООО "СКС УК" с просьбой о проведении перерасчета платы за водоснабжение и водоотведение квартиры, расположенной по адресу: г. Москва, ул. **, д. **, корп. *, кв. ***, коммунальные услуги за которую он оплачивает. Истец обратился к ответчику с требованием о проведении перерасчета по ХВС, ГВС и водоотведению. Письмом от 12.07.2018 N 1088/18 ответчик сообщил истцу, что перерасчет за период отсутствия показаний приборов учета свыше 3 месяцев (в случае заявителя 35 месяцев) не производится, так как не предусмотрен законодательством. С момента возникновения расхождений в количестве оплаченных по нормативам и количестве реально потребленных в соответствии с показаниями счетчиков коммунальных услуг до момента обращения в ООО "СКС УК" с просьбой о проведении перерасчета счетчики были поверены, их исправность и корректность по ним показаний ООО "СКС УК" не оспаривалась. По мнению истца, отказ в проведении перерасчета платы за водоснабжение и водоотведение противоречит </w:t>
      </w:r>
      <w:hyperlink r:id="rId5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157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ЖК РФ, исходя из которой, ответчик обязан рассчитать потребление коммунальных услуг в квартире исходя из уточненных показаний счетчиков. По расчетам истца общая сумма переплаченных денежных средств за коммунальные услуги составила сумму в размере 71 142,60 руб. В связи с чем, истец просил суд обязать ответчика зачесть в счет оплаты будущих платежей за водоснабжение и водоотведение излишне уплаченные денежные средства в размере 71 142,60 руб., взыскать с ответчика штраф в размере 50% от присужденной судом суммы, предусмотренный </w:t>
      </w:r>
      <w:hyperlink r:id="rId6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п. 6 ст. 13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Закона РФ "О защите прав потребителей", компенсацию морального вреда в размере 20 000 руб.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Истец Б.П. - в судебное заседание суда первой инстанции не явился, о времени и месте рассмотрения дела извещен надлежащим образом, ходатайствовал о рассмотрении дела в его отсутствие.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Представитель ответчика ООО "СКС УК" - в судебное заседание суда первой инстанции не явился, о дате, месте и времени рассмотрения дела извещен надлежащим образом, представил ходатайство о рассмотрении дела в свое отсутствие.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lastRenderedPageBreak/>
        <w:t>Суд первой инстанции постановил вышеприведенное решение, об отмене которого просит истец по тем основаниям, что суд неправильно определил обстоятельства, имеющие значение для дела, нарушил нормы материального и процессуального права.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Истец Б.П., извещенный надлежащим образом о времени и месте рассмотрения дела, в судебное заседание суда апелляционной инстанции не явился, в связи с чем, руководствуясь </w:t>
      </w:r>
      <w:hyperlink r:id="rId7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327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судебная коллегия считает возможным рассмотрение дела в его отсутствие.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Изучив материалы дела, заслушав возражения представителя ответчика ООО "СКС УК" С., обсудив доводы жалобы, судебная коллегия пришла к следующему.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В соответствии с </w:t>
      </w:r>
      <w:hyperlink r:id="rId8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ч. 1 ст. 327.1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-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В соответствии со </w:t>
      </w:r>
      <w:hyperlink r:id="rId9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330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- основаниями для отмены или изменения решения суда в апелляционном порядке являются: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1) неправильное определение обстоятельств, имеющих значение для дела;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2) недоказанность установленных судом первой инстанции обстоятельств, имеющих значение для дела;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3) несоответствие выводов суда первой инстанции, изложенных в решении суда, обстоятельствам дела;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4) нарушение или неправильное применение норм материального права или норм процессуального права.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При рассмотрении данного дела такие нарушения судом первой инстанции не допущены, поскольку, разрешая спор, суд первой инстанции правильно установил обстоятельства, имеющие значение для дела, и дал им надлежащую оценку в соответствии с нормами материального права, регулирующими спорные правоотношения.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Так, судом первой инстанции установлено, а также судебной коллегией из материалов дела усматривается, что истец Б.П. является сособственником жилого помещения, расположенного по адресу: г. Москва, ул. ***, д. **, корп. *, кв. ***, в которой зарегистрированы по месту жительства Б.П., Б.А. и Б.Л.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По состоянию на дату последней передачи сведений ИПУ в квартире истца 17.05.2015 показания составляли по ГВС 768.785 куб. м, по ХВС 486.863 куб. м.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В период с мая 2015 года по июнь 2018 года показания ИПУ по квартире, расположенной по указанному адресу, не передавались.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В связи с уточнением показаний счетчиков истец обратился в ООО "СКС УК" с просьбой о проведении перерасчета платы за водоснабжение и водоотведение квартиры, расположенной по адресу: г. Москва, ул. ***, д. **, корп. *, кв. ***, коммунальные услуги за которую он оплачивает.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Письмом от 12.07.2018 N 1088/18 ответчик сообщил истцу, что перерасчет за период отсутствия показаний приборов учета свыше 3 месяцев (в случае заявителя 35 месяцев) не производится, так как не предусмотрен законодательством.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В соответствии со </w:t>
      </w:r>
      <w:hyperlink r:id="rId10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210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ГК РФ, </w:t>
      </w:r>
      <w:hyperlink r:id="rId11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ст. 30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12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153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13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154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14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157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ЖК РФ, Федеральным </w:t>
      </w:r>
      <w:hyperlink r:id="rId15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6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РФ </w:t>
      </w:r>
      <w:r w:rsidRPr="00E3301D">
        <w:rPr>
          <w:rFonts w:ascii="Calibri" w:eastAsia="Times New Roman" w:hAnsi="Calibri" w:cs="Calibri"/>
          <w:szCs w:val="20"/>
          <w:lang w:eastAsia="ru-RU"/>
        </w:rPr>
        <w:lastRenderedPageBreak/>
        <w:t xml:space="preserve">N 2300-1 от 07.02.1992 "О защите прав потребителей", приведя положения </w:t>
      </w:r>
      <w:hyperlink r:id="rId17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Постановления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 и Правила предоставления коммунальных услуг собственникам и пользователям помещений в многоквартирных домах и жилых домов, оценив в порядке </w:t>
      </w:r>
      <w:hyperlink r:id="rId18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67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 собранные по делу доказательства в их совокупности, - суд первой инстанции пришел к правильному выводу об отказе в удовлетворении требований истца.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При этом суд обоснованно исходил из того, что доказательств совершения ответчиком виновных действий и незаконного начисления потребительского ресурса за период с мая 2015 года по июнь 2018 года, а также невозможности истца передавать показания индивидуальных приборов учета, суду не предоставлено.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Разрешая спор, оценив по правилам </w:t>
      </w:r>
      <w:hyperlink r:id="rId19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67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 собранные по делу доказательства в их совокупности, суд первой инстанции верно учел, что истцом в нарушение положений </w:t>
      </w:r>
      <w:hyperlink r:id="rId20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ЖК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РФ и </w:t>
      </w:r>
      <w:hyperlink r:id="rId21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Постановления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Правительства РФ от 06.05.2011 N 354 показания приборов учета ХВС и ГВС в период с мая 2015 года по июнь 2018 года не передавались, в связи с чем, расчет потребленного ресурса производился управляющей компанией в соответствии с п. 59 Правил предоставления коммунальных услуг собственникам и пользователям помещений в многоквартирных домах и жилых домов, исходя из норматива потребления коммунального ресурса потребителем.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Истец в силу закона не реализовал свое право и не представил показания индивидуальных приборов учета водопотребления с мая 2015 года по июнь 2018 года, в связи с чем, ответчиком обоснованно отказано в производстве перерасчета свыше 3 месяцев.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Таким образом, суд первой инстанции обоснованно пришел к выводу об отказе в удовлетворении исковых требований об обязании зачесть в счет оплаты будущих платежей за водоснабжение и водоотведение излишне уплаченные денежные средства, учитывая также, что передача показаний приборов учета водопотребления является правом, а не обязанностью потребителя, что потребитель самостоятельно решает вопрос реализации представленного права, между тем, действующее законодательство предусматривает соответствующие последствия в виде изменения порядка начисления за предоставленную услугу в случае, если потребитель этим правом не воспользовался.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При таких обстоятельствах, поскольку суд правомерно не нашел оснований для удовлетворения требований истца в части обязания ответчика зачесть в счет оплаты будущих платежей за водоснабжение и водоотведение излишне уплаченные денежные средства, - постольку не имеется оснований для взыскания с ответчика в пользу истца компенсации морального вреда и штрафа за несоблюдение удовлетворения требований потребителя в добровольном порядке.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Доводы апелляционной жалобы о том, что суд не применил </w:t>
      </w:r>
      <w:hyperlink r:id="rId22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п. 61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судебная коллегия находит несостоятельными.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В соответствии с </w:t>
      </w:r>
      <w:hyperlink r:id="rId23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п. 61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указанных Правил, если в ходе проводимой исполнителем проверки достоверности предоставленных потребителем сведений о показаниях индивидуальных, общих (квартирных), комнатных приборов учета и (или) проверки их состояния исполнителем будет установлено, что прибор учета находится в исправном состоянии, в том числе пломбы на нем не повреждены, но имеются расхождения между показаниями проверяемого прибора учета (распределителей) и объемом коммунального ресурса,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период, то исполнитель обязан произвести перерасчет размера платы за коммунальную услугу и направить потребителю в сроки, установленные для </w:t>
      </w:r>
      <w:r w:rsidRPr="00E3301D">
        <w:rPr>
          <w:rFonts w:ascii="Calibri" w:eastAsia="Times New Roman" w:hAnsi="Calibri" w:cs="Calibri"/>
          <w:szCs w:val="20"/>
          <w:lang w:eastAsia="ru-RU"/>
        </w:rPr>
        <w:lastRenderedPageBreak/>
        <w:t>оплаты коммунальных услуг за расчетный период, в котором исполнителем была проведена проверка,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услуги, излишне начисленной потребителю. Излишне уплаченные потребителем суммы подлежат зачету при оплате будущих расчетных периодов.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Перерасчет размера платы должен быть произведен исходя из снятых исполнителем в ходе проверки показаний проверяемого прибора учета.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При этом, если потребителем не будет доказано иное,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исполнителем была проведена проверка.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Таким образом, указанный п. 61 Правил в данной случае не применим, поскольку относится к случаям предоставления потребителем показаний приборов учета.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Доводы апелляционной жалобы, которые сводятся к тому, что суд неправильно оценил имеющиеся в деле доказательства, - судебная коллегия считает сомнительными, т.к. из содержания оспариваемого судебного акта следует, что судом первой инстанции с соблюдением требований </w:t>
      </w:r>
      <w:hyperlink r:id="rId24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ст. 12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25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55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26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56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27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195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28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ч. 1 ст. 196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в качестве доказательств, отвечающих </w:t>
      </w:r>
      <w:hyperlink r:id="rId29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ст. 59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30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60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приняты во внимание представленные в материалы дела письменные доказательства в их совокупности, которым дана оценка согласно </w:t>
      </w:r>
      <w:hyperlink r:id="rId31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67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Остальные доводы апелляционной жалобы фактически выражают несогласие истца с выводами суда, однако по существу их не опровергают, оснований к отмене решения не содержат, в связи с чем, признаются судом апелляционной инстанции несостоятельными, т.к. иная точка зрения на то, как должно быть разрешено дело, не может являться поводом для отмены состоявшегося по настоящему делу судебного акта.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Таким образом, мотивы, по которым суд пришел к выводу о наличии оснований для отказа в удовлетворении исковых требований, а также оценка доказательств, подтверждающих эти выводы, приведены в мотивировочной части решения суда, и считать их неправильными у судебной коллегии не имеется оснований.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Пленум Верховного Суда РФ в </w:t>
      </w:r>
      <w:hyperlink r:id="rId32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постановлении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от 19 декабря 2003 г. за N 23 "О судебном решении" разъяснил, что решение должно быть законным и обоснованным (</w:t>
      </w:r>
      <w:hyperlink r:id="rId33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 1 статьи 195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РФ).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</w:t>
      </w:r>
      <w:hyperlink r:id="rId34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 1 статьи 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35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 3 статьи 11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РФ). 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</w:t>
      </w:r>
      <w:hyperlink r:id="rId36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статьи 55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37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59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r:id="rId38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61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39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67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РФ), а также тогда, когда оно содержит исчерпывающие выводы суда, вытекающие из установленных фактов.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Эти требования при вынесении решения судом первой инстанции соблюдены.</w:t>
      </w:r>
    </w:p>
    <w:p w:rsidR="00E3301D" w:rsidRPr="00E3301D" w:rsidRDefault="00E3301D" w:rsidP="00E330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 xml:space="preserve">На основании вышеизложенного, руководствуясь </w:t>
      </w:r>
      <w:hyperlink r:id="rId40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ст. ст. 327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r:id="rId41" w:history="1">
        <w:r w:rsidRPr="00E3301D">
          <w:rPr>
            <w:rFonts w:ascii="Calibri" w:eastAsia="Times New Roman" w:hAnsi="Calibri" w:cs="Calibri"/>
            <w:color w:val="0000FF"/>
            <w:szCs w:val="20"/>
            <w:lang w:eastAsia="ru-RU"/>
          </w:rPr>
          <w:t>330</w:t>
        </w:r>
      </w:hyperlink>
      <w:r w:rsidRPr="00E3301D">
        <w:rPr>
          <w:rFonts w:ascii="Calibri" w:eastAsia="Times New Roman" w:hAnsi="Calibri" w:cs="Calibri"/>
          <w:szCs w:val="20"/>
          <w:lang w:eastAsia="ru-RU"/>
        </w:rPr>
        <w:t xml:space="preserve"> ГПК РФ, судебная коллегия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определила: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3301D">
        <w:rPr>
          <w:rFonts w:ascii="Calibri" w:eastAsia="Times New Roman" w:hAnsi="Calibri" w:cs="Calibri"/>
          <w:szCs w:val="20"/>
          <w:lang w:eastAsia="ru-RU"/>
        </w:rPr>
        <w:t>решение Хорошевского районного суда г. Москвы от 31 июля 2019 года оставить без изменения, апелляционную жалобу истца Б.П. - без удовлетворения.</w:t>
      </w: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3301D" w:rsidRPr="00E3301D" w:rsidRDefault="00E3301D" w:rsidP="00E3301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E3301D" w:rsidRPr="00E3301D" w:rsidRDefault="00E3301D" w:rsidP="00E3301D">
      <w:pPr>
        <w:rPr>
          <w:rFonts w:eastAsia="Times New Roman" w:cs="Times New Roman"/>
        </w:rPr>
      </w:pPr>
    </w:p>
    <w:p w:rsidR="00A23978" w:rsidRDefault="00A23978">
      <w:bookmarkStart w:id="0" w:name="_GoBack"/>
      <w:bookmarkEnd w:id="0"/>
    </w:p>
    <w:sectPr w:rsidR="00A23978" w:rsidSect="0001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1D"/>
    <w:rsid w:val="00A23978"/>
    <w:rsid w:val="00E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9DA1"/>
  <w15:chartTrackingRefBased/>
  <w15:docId w15:val="{63EA51EE-5249-42C0-B904-84624A4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A57CA5DC13BDBD67DE50EB2E7AC53CF8FC200995385C6F32BEABAFA6EEC663910A2FA97B8ED4789B4BAB2E6B42B9B47A711F7A044kDO" TargetMode="External"/><Relationship Id="rId13" Type="http://schemas.openxmlformats.org/officeDocument/2006/relationships/hyperlink" Target="consultantplus://offline/ref=35EA57CA5DC13BDBD67DE50EB2E7AC53CF8FC4009C5385C6F32BEABAFA6EEC663910A2F995BEEF13D8FBBBEEA2E8389B4DA713F4BC4ED8E54Ck8O" TargetMode="External"/><Relationship Id="rId18" Type="http://schemas.openxmlformats.org/officeDocument/2006/relationships/hyperlink" Target="consultantplus://offline/ref=35EA57CA5DC13BDBD67DE50EB2E7AC53CF8FC200995385C6F32BEABAFA6EEC663910A2F995BEE41ADFFBBBEEA2E8389B4DA713F4BC4ED8E54Ck8O" TargetMode="External"/><Relationship Id="rId26" Type="http://schemas.openxmlformats.org/officeDocument/2006/relationships/hyperlink" Target="consultantplus://offline/ref=35EA57CA5DC13BDBD67DE50EB2E7AC53CF8FC200995385C6F32BEABAFA6EEC663910A2F995BEE415D8FBBBEEA2E8389B4DA713F4BC4ED8E54Ck8O" TargetMode="External"/><Relationship Id="rId39" Type="http://schemas.openxmlformats.org/officeDocument/2006/relationships/hyperlink" Target="consultantplus://offline/ref=35EA57CA5DC13BDBD67DE50EB2E7AC53CF8FC200995385C6F32BEABAFA6EEC663910A2F995BEE41ADFFBBBEEA2E8389B4DA713F4BC4ED8E54Ck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EA57CA5DC13BDBD67DE50EB2E7AC53CF8ECD07955A85C6F32BEABAFA6EEC662B10FAF595B7F813DBEEEDBFE44BkCO" TargetMode="External"/><Relationship Id="rId34" Type="http://schemas.openxmlformats.org/officeDocument/2006/relationships/hyperlink" Target="consultantplus://offline/ref=35EA57CA5DC13BDBD67DE50EB2E7AC53CF8FC200995385C6F32BEABAFA6EEC663910A2F995BEE613D1FBBBEEA2E8389B4DA713F4BC4ED8E54Ck8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EA57CA5DC13BDBD67DE50EB2E7AC53CF8FC200995385C6F32BEABAFA6EEC663910A2FA94BAED4789B4BAB2E6B42B9B47A711F7A044kDO" TargetMode="External"/><Relationship Id="rId12" Type="http://schemas.openxmlformats.org/officeDocument/2006/relationships/hyperlink" Target="consultantplus://offline/ref=35EA57CA5DC13BDBD67DE50EB2E7AC53CF8FC4009C5385C6F32BEABAFA6EEC663910A2F995BEEE1AD9FBBBEEA2E8389B4DA713F4BC4ED8E54Ck8O" TargetMode="External"/><Relationship Id="rId17" Type="http://schemas.openxmlformats.org/officeDocument/2006/relationships/hyperlink" Target="consultantplus://offline/ref=35EA57CA5DC13BDBD67DE50EB2E7AC53CF8ECD07955A85C6F32BEABAFA6EEC662B10FAF595B7F813DBEEEDBFE44BkCO" TargetMode="External"/><Relationship Id="rId25" Type="http://schemas.openxmlformats.org/officeDocument/2006/relationships/hyperlink" Target="consultantplus://offline/ref=35EA57CA5DC13BDBD67DE50EB2E7AC53CF8FC200995385C6F32BEABAFA6EEC663910A2F995BEE416DEFBBBEEA2E8389B4DA713F4BC4ED8E54Ck8O" TargetMode="External"/><Relationship Id="rId33" Type="http://schemas.openxmlformats.org/officeDocument/2006/relationships/hyperlink" Target="consultantplus://offline/ref=35EA57CA5DC13BDBD67DE50EB2E7AC53CF8FC200995385C6F32BEABAFA6EEC663910A2F995BEEF12DBFBBBEEA2E8389B4DA713F4BC4ED8E54Ck8O" TargetMode="External"/><Relationship Id="rId38" Type="http://schemas.openxmlformats.org/officeDocument/2006/relationships/hyperlink" Target="consultantplus://offline/ref=35EA57CA5DC13BDBD67DE50EB2E7AC53CF8FC200995385C6F32BEABAFA6EEC663910A2F995BEE414DEFBBBEEA2E8389B4DA713F4BC4ED8E54Ck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EA57CA5DC13BDBD67DE50EB2E7AC53CF8EC405985285C6F32BEABAFA6EEC662B10FAF595B7F813DBEEEDBFE44BkCO" TargetMode="External"/><Relationship Id="rId20" Type="http://schemas.openxmlformats.org/officeDocument/2006/relationships/hyperlink" Target="consultantplus://offline/ref=35EA57CA5DC13BDBD67DE50EB2E7AC53CF8FC4009C5385C6F32BEABAFA6EEC662B10FAF595B7F813DBEEEDBFE44BkCO" TargetMode="External"/><Relationship Id="rId29" Type="http://schemas.openxmlformats.org/officeDocument/2006/relationships/hyperlink" Target="consultantplus://offline/ref=35EA57CA5DC13BDBD67DE50EB2E7AC53CF8FC200995385C6F32BEABAFA6EEC663910A2F995BEE414DAFBBBEEA2E8389B4DA713F4BC4ED8E54Ck8O" TargetMode="External"/><Relationship Id="rId41" Type="http://schemas.openxmlformats.org/officeDocument/2006/relationships/hyperlink" Target="consultantplus://offline/ref=35EA57CA5DC13BDBD67DE50EB2E7AC53CF8FC200995385C6F32BEABAFA6EEC663910A2FA90BAED4789B4BAB2E6B42B9B47A711F7A044k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A57CA5DC13BDBD67DE50EB2E7AC53CF8EC405985285C6F32BEABAFA6EEC663910A2F995BEE515DDFBBBEEA2E8389B4DA713F4BC4ED8E54Ck8O" TargetMode="External"/><Relationship Id="rId11" Type="http://schemas.openxmlformats.org/officeDocument/2006/relationships/hyperlink" Target="consultantplus://offline/ref=35EA57CA5DC13BDBD67DE50EB2E7AC53CF8FC4009C5385C6F32BEABAFA6EEC663910A2F995BEE410DCFBBBEEA2E8389B4DA713F4BC4ED8E54Ck8O" TargetMode="External"/><Relationship Id="rId24" Type="http://schemas.openxmlformats.org/officeDocument/2006/relationships/hyperlink" Target="consultantplus://offline/ref=35EA57CA5DC13BDBD67DE50EB2E7AC53CF8FC200995385C6F32BEABAFA6EEC663910A2F995BEE616DBFBBBEEA2E8389B4DA713F4BC4ED8E54Ck8O" TargetMode="External"/><Relationship Id="rId32" Type="http://schemas.openxmlformats.org/officeDocument/2006/relationships/hyperlink" Target="consultantplus://offline/ref=35EA57CA5DC13BDBD67DE50EB2E7AC53CD84C5079A5F85C6F32BEABAFA6EEC662B10FAF595B7F813DBEEEDBFE44BkCO" TargetMode="External"/><Relationship Id="rId37" Type="http://schemas.openxmlformats.org/officeDocument/2006/relationships/hyperlink" Target="consultantplus://offline/ref=35EA57CA5DC13BDBD67DE50EB2E7AC53CF8FC200995385C6F32BEABAFA6EEC663910A2F995BEE414DAFBBBEEA2E8389B4DA713F4BC4ED8E54Ck8O" TargetMode="External"/><Relationship Id="rId40" Type="http://schemas.openxmlformats.org/officeDocument/2006/relationships/hyperlink" Target="consultantplus://offline/ref=35EA57CA5DC13BDBD67DE50EB2E7AC53CF8FC200995385C6F32BEABAFA6EEC663910A2FA94BAED4789B4BAB2E6B42B9B47A711F7A044kDO" TargetMode="External"/><Relationship Id="rId5" Type="http://schemas.openxmlformats.org/officeDocument/2006/relationships/hyperlink" Target="consultantplus://offline/ref=35EA57CA5DC13BDBD67DE50EB2E7AC53CF8FC4009C5385C6F32BEABAFA6EEC663910A2F995BEEF10DEFBBBEEA2E8389B4DA713F4BC4ED8E54Ck8O" TargetMode="External"/><Relationship Id="rId15" Type="http://schemas.openxmlformats.org/officeDocument/2006/relationships/hyperlink" Target="consultantplus://offline/ref=35EA57CA5DC13BDBD67DE50EB2E7AC53CF8CC6089B5985C6F32BEABAFA6EEC662B10FAF595B7F813DBEEEDBFE44BkCO" TargetMode="External"/><Relationship Id="rId23" Type="http://schemas.openxmlformats.org/officeDocument/2006/relationships/hyperlink" Target="consultantplus://offline/ref=35EA57CA5DC13BDBD67DE50EB2E7AC53CF8ECD07955A85C6F32BEABAFA6EEC663910A2FC92BBED4789B4BAB2E6B42B9B47A711F7A044kDO" TargetMode="External"/><Relationship Id="rId28" Type="http://schemas.openxmlformats.org/officeDocument/2006/relationships/hyperlink" Target="consultantplus://offline/ref=35EA57CA5DC13BDBD67DE50EB2E7AC53CF8FC200995385C6F32BEABAFA6EEC663910A2F995BEEF12DEFBBBEEA2E8389B4DA713F4BC4ED8E54Ck8O" TargetMode="External"/><Relationship Id="rId36" Type="http://schemas.openxmlformats.org/officeDocument/2006/relationships/hyperlink" Target="consultantplus://offline/ref=35EA57CA5DC13BDBD67DE50EB2E7AC53CF8FC200995385C6F32BEABAFA6EEC663910A2F995BEE416DEFBBBEEA2E8389B4DA713F4BC4ED8E54Ck8O" TargetMode="External"/><Relationship Id="rId10" Type="http://schemas.openxmlformats.org/officeDocument/2006/relationships/hyperlink" Target="consultantplus://offline/ref=35EA57CA5DC13BDBD67DE50EB2E7AC53CF8DC6049B5285C6F32BEABAFA6EEC663910A2F995BFE710D8FBBBEEA2E8389B4DA713F4BC4ED8E54Ck8O" TargetMode="External"/><Relationship Id="rId19" Type="http://schemas.openxmlformats.org/officeDocument/2006/relationships/hyperlink" Target="consultantplus://offline/ref=35EA57CA5DC13BDBD67DE50EB2E7AC53CF8FC200995385C6F32BEABAFA6EEC663910A2F995BEE41ADFFBBBEEA2E8389B4DA713F4BC4ED8E54Ck8O" TargetMode="External"/><Relationship Id="rId31" Type="http://schemas.openxmlformats.org/officeDocument/2006/relationships/hyperlink" Target="consultantplus://offline/ref=35EA57CA5DC13BDBD67DE50EB2E7AC53CF8FC200995385C6F32BEABAFA6EEC663910A2F995BEE41ADFFBBBEEA2E8389B4DA713F4BC4ED8E54Ck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EA57CA5DC13BDBD67DE50EB2E7AC53CF8FC200995385C6F32BEABAFA6EEC663910A2FA90BAED4789B4BAB2E6B42B9B47A711F7A044kDO" TargetMode="External"/><Relationship Id="rId14" Type="http://schemas.openxmlformats.org/officeDocument/2006/relationships/hyperlink" Target="consultantplus://offline/ref=35EA57CA5DC13BDBD67DE50EB2E7AC53CF8FC4009C5385C6F32BEABAFA6EEC663910A2F995BEEF10DEFBBBEEA2E8389B4DA713F4BC4ED8E54Ck8O" TargetMode="External"/><Relationship Id="rId22" Type="http://schemas.openxmlformats.org/officeDocument/2006/relationships/hyperlink" Target="consultantplus://offline/ref=35EA57CA5DC13BDBD67DE50EB2E7AC53CF8ECD07955A85C6F32BEABAFA6EEC663910A2FC92BBED4789B4BAB2E6B42B9B47A711F7A044kDO" TargetMode="External"/><Relationship Id="rId27" Type="http://schemas.openxmlformats.org/officeDocument/2006/relationships/hyperlink" Target="consultantplus://offline/ref=35EA57CA5DC13BDBD67DE50EB2E7AC53CF8FC200995385C6F32BEABAFA6EEC663910A2F995BEEF12DAFBBBEEA2E8389B4DA713F4BC4ED8E54Ck8O" TargetMode="External"/><Relationship Id="rId30" Type="http://schemas.openxmlformats.org/officeDocument/2006/relationships/hyperlink" Target="consultantplus://offline/ref=35EA57CA5DC13BDBD67DE50EB2E7AC53CF8FC200995385C6F32BEABAFA6EEC663910A2F995BEE414DCFBBBEEA2E8389B4DA713F4BC4ED8E54Ck8O" TargetMode="External"/><Relationship Id="rId35" Type="http://schemas.openxmlformats.org/officeDocument/2006/relationships/hyperlink" Target="consultantplus://offline/ref=35EA57CA5DC13BDBD67DE50EB2E7AC53CF8FC200995385C6F32BEABAFA6EEC663910A2F995BEE616D8FBBBEEA2E8389B4DA713F4BC4ED8E54Ck8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Сатдаров Руслан Ильфатович</dc:creator>
  <cp:keywords/>
  <dc:description/>
  <cp:lastModifiedBy>Сатдаров Руслан Ильфатович</cp:lastModifiedBy>
  <cp:revision>1</cp:revision>
  <dcterms:created xsi:type="dcterms:W3CDTF">2021-03-09T14:43:00Z</dcterms:created>
  <dcterms:modified xsi:type="dcterms:W3CDTF">2021-03-09T14:43:00Z</dcterms:modified>
</cp:coreProperties>
</file>