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D3E" w:rsidRDefault="00326D3E" w:rsidP="00326D3E">
      <w:pPr>
        <w:pStyle w:val="a9"/>
        <w:shd w:val="clear" w:color="auto" w:fill="FFFFFF"/>
        <w:spacing w:before="60" w:beforeAutospacing="0" w:after="60" w:afterAutospacing="0" w:line="273" w:lineRule="atLeast"/>
        <w:rPr>
          <w:rFonts w:ascii="Arial" w:hAnsi="Arial" w:cs="Arial"/>
          <w:color w:val="000000"/>
          <w:sz w:val="18"/>
          <w:szCs w:val="18"/>
        </w:rPr>
      </w:pPr>
      <w:r>
        <w:rPr>
          <w:rFonts w:ascii="Arial" w:hAnsi="Arial" w:cs="Arial"/>
          <w:color w:val="000000"/>
          <w:sz w:val="21"/>
          <w:szCs w:val="21"/>
        </w:rPr>
        <w:fldChar w:fldCharType="begin"/>
      </w:r>
      <w:r>
        <w:rPr>
          <w:rFonts w:ascii="Arial" w:hAnsi="Arial" w:cs="Arial"/>
          <w:color w:val="000000"/>
          <w:sz w:val="21"/>
          <w:szCs w:val="21"/>
        </w:rPr>
        <w:instrText xml:space="preserve"> HYPERLINK "http://fondgkh.ru/reforma/narodu/repair/index.html" \t "_blank" </w:instrText>
      </w:r>
      <w:r>
        <w:rPr>
          <w:rFonts w:ascii="Arial" w:hAnsi="Arial" w:cs="Arial"/>
          <w:color w:val="000000"/>
          <w:sz w:val="21"/>
          <w:szCs w:val="21"/>
        </w:rPr>
        <w:fldChar w:fldCharType="separate"/>
      </w:r>
      <w:r>
        <w:rPr>
          <w:rStyle w:val="aa"/>
          <w:rFonts w:ascii="Arial" w:hAnsi="Arial" w:cs="Arial"/>
          <w:color w:val="5A6D9D"/>
          <w:sz w:val="21"/>
          <w:szCs w:val="21"/>
        </w:rPr>
        <w:t xml:space="preserve">Здравствуйте. Подскажите, пожалуйста. Если собственники жилья решили сформировать фонд на капитальный ремонт у регионального оператора, за чей счет будет подготовка документов к капитальному ремонту, в частности, изготовление новых технических паспортов, проведение </w:t>
      </w:r>
      <w:proofErr w:type="spellStart"/>
      <w:r>
        <w:rPr>
          <w:rStyle w:val="aa"/>
          <w:rFonts w:ascii="Arial" w:hAnsi="Arial" w:cs="Arial"/>
          <w:color w:val="5A6D9D"/>
          <w:sz w:val="21"/>
          <w:szCs w:val="21"/>
        </w:rPr>
        <w:t>энергоаудита</w:t>
      </w:r>
      <w:proofErr w:type="spellEnd"/>
      <w:r>
        <w:rPr>
          <w:rStyle w:val="aa"/>
          <w:rFonts w:ascii="Arial" w:hAnsi="Arial" w:cs="Arial"/>
          <w:color w:val="5A6D9D"/>
          <w:sz w:val="21"/>
          <w:szCs w:val="21"/>
        </w:rPr>
        <w:t>?</w:t>
      </w:r>
      <w:r>
        <w:rPr>
          <w:rFonts w:ascii="Arial" w:hAnsi="Arial" w:cs="Arial"/>
          <w:color w:val="000000"/>
          <w:sz w:val="21"/>
          <w:szCs w:val="21"/>
        </w:rPr>
        <w:fldChar w:fldCharType="end"/>
      </w:r>
    </w:p>
    <w:p w:rsidR="00326D3E" w:rsidRDefault="00326D3E" w:rsidP="00326D3E">
      <w:pPr>
        <w:pStyle w:val="a9"/>
        <w:shd w:val="clear" w:color="auto" w:fill="EEEEEE"/>
        <w:spacing w:before="0" w:beforeAutospacing="0" w:after="0" w:line="273" w:lineRule="atLeast"/>
        <w:jc w:val="both"/>
        <w:rPr>
          <w:rFonts w:ascii="Arial" w:hAnsi="Arial" w:cs="Arial"/>
          <w:color w:val="000000"/>
          <w:sz w:val="18"/>
          <w:szCs w:val="18"/>
        </w:rPr>
      </w:pPr>
      <w:r>
        <w:rPr>
          <w:rStyle w:val="ab"/>
          <w:rFonts w:ascii="Verdana" w:hAnsi="Verdana" w:cs="Arial"/>
          <w:color w:val="000000"/>
          <w:sz w:val="18"/>
          <w:szCs w:val="18"/>
        </w:rPr>
        <w:t>Ответ:</w:t>
      </w:r>
      <w:r>
        <w:rPr>
          <w:rFonts w:ascii="Arial" w:hAnsi="Arial" w:cs="Arial"/>
          <w:color w:val="000000"/>
          <w:sz w:val="18"/>
          <w:szCs w:val="18"/>
        </w:rPr>
        <w:t> </w:t>
      </w:r>
      <w:r>
        <w:rPr>
          <w:rFonts w:ascii="Verdana" w:hAnsi="Verdana" w:cs="Arial"/>
          <w:color w:val="000000"/>
          <w:sz w:val="18"/>
          <w:szCs w:val="18"/>
        </w:rPr>
        <w:t>Согласно положению о государственном учете жилищного фонда в Российской Федерации (далее Положение), утвержденному постановлением Правительства Российской Федерации от 13 октября 1997 года № 1301 (в редакции, действующей до 19 мая 2009 года), </w:t>
      </w:r>
      <w:r>
        <w:rPr>
          <w:rFonts w:ascii="Verdana" w:hAnsi="Verdana" w:cs="Arial"/>
          <w:b/>
          <w:bCs/>
          <w:color w:val="000000"/>
          <w:sz w:val="18"/>
          <w:szCs w:val="18"/>
        </w:rPr>
        <w:t xml:space="preserve">технический </w:t>
      </w:r>
      <w:proofErr w:type="spellStart"/>
      <w:r>
        <w:rPr>
          <w:rFonts w:ascii="Verdana" w:hAnsi="Verdana" w:cs="Arial"/>
          <w:b/>
          <w:bCs/>
          <w:color w:val="000000"/>
          <w:sz w:val="18"/>
          <w:szCs w:val="18"/>
        </w:rPr>
        <w:t>паспорт</w:t>
      </w:r>
      <w:r>
        <w:rPr>
          <w:rFonts w:ascii="Verdana" w:hAnsi="Verdana" w:cs="Arial"/>
          <w:color w:val="000000"/>
          <w:sz w:val="18"/>
          <w:szCs w:val="18"/>
        </w:rPr>
        <w:t>строения</w:t>
      </w:r>
      <w:proofErr w:type="spellEnd"/>
      <w:r>
        <w:rPr>
          <w:rFonts w:ascii="Verdana" w:hAnsi="Verdana" w:cs="Arial"/>
          <w:color w:val="000000"/>
          <w:sz w:val="18"/>
          <w:szCs w:val="18"/>
        </w:rPr>
        <w:t xml:space="preserve"> должен был составляться при приемке жилых строений в эксплуатацию.</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Технический учет жилищного фонда возлагался на специализированные государственные и муниципальные организации технической инвентаризации – унитарные предприятия, службы, управления, центры, бюро (далее именуются БТИ).</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Технические паспорта, иные документы, составленные БТИ до введения в действие Положения, считаются действительными и хранятся в архивах БТИ.</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С 19 мая 2009 года в целях государственного учета жилищного фонда БТИ осуществляют </w:t>
      </w:r>
      <w:r>
        <w:rPr>
          <w:rFonts w:ascii="Verdana" w:hAnsi="Verdana" w:cs="Arial"/>
          <w:b/>
          <w:bCs/>
          <w:color w:val="000000"/>
          <w:sz w:val="18"/>
          <w:szCs w:val="18"/>
        </w:rPr>
        <w:t>техническую инвентаризацию</w:t>
      </w:r>
      <w:r>
        <w:rPr>
          <w:rFonts w:ascii="Verdana" w:hAnsi="Verdana" w:cs="Arial"/>
          <w:color w:val="000000"/>
          <w:sz w:val="18"/>
          <w:szCs w:val="18"/>
        </w:rPr>
        <w:t> жилищного фонда в порядке, установленном нормативными правовыми актами в сфере государственного технического учета и технической инвентаризации объектов капитального строительства.</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20"/>
          <w:szCs w:val="20"/>
        </w:rPr>
        <w:t>Согласно Положению об организации в Российской Федерации государственного технического учета и технической инвентаризации объектов капитального строительства, утвержденному постановлением Правительства Российской Федерации от 4 декабря 2000 года № 921, в результате осуществления первичного государственного технического учета многоквартирных домов, введенных в эксплуатацию после 1 марта 2008 года, организацией (органом) по государственному техническому учету и (или) технической инвентаризации выдаются </w:t>
      </w:r>
      <w:r>
        <w:rPr>
          <w:rFonts w:ascii="Verdana" w:hAnsi="Verdana" w:cs="Arial"/>
          <w:b/>
          <w:bCs/>
          <w:color w:val="000000"/>
          <w:sz w:val="20"/>
          <w:szCs w:val="20"/>
        </w:rPr>
        <w:t>кадастровые паспорта</w:t>
      </w:r>
      <w:r>
        <w:rPr>
          <w:rFonts w:ascii="Verdana" w:hAnsi="Verdana" w:cs="Arial"/>
          <w:color w:val="000000"/>
          <w:sz w:val="20"/>
          <w:szCs w:val="20"/>
        </w:rPr>
        <w:t> соответствующих объектов капитального</w:t>
      </w:r>
      <w:proofErr w:type="gramEnd"/>
      <w:r>
        <w:rPr>
          <w:rFonts w:ascii="Verdana" w:hAnsi="Verdana" w:cs="Arial"/>
          <w:color w:val="000000"/>
          <w:sz w:val="20"/>
          <w:szCs w:val="20"/>
        </w:rPr>
        <w:t xml:space="preserve"> строительства.</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20"/>
          <w:szCs w:val="20"/>
        </w:rPr>
        <w:t xml:space="preserve">Кроме того, согласно ранее действовавшим Территориальным строительным нормам от 25 октября 2004 </w:t>
      </w:r>
      <w:proofErr w:type="spellStart"/>
      <w:r>
        <w:rPr>
          <w:rFonts w:ascii="Verdana" w:hAnsi="Verdana" w:cs="Arial"/>
          <w:color w:val="000000"/>
          <w:sz w:val="20"/>
          <w:szCs w:val="20"/>
        </w:rPr>
        <w:t>годаТСН</w:t>
      </w:r>
      <w:proofErr w:type="spellEnd"/>
      <w:r>
        <w:rPr>
          <w:rFonts w:ascii="Verdana" w:hAnsi="Verdana" w:cs="Arial"/>
          <w:color w:val="000000"/>
          <w:sz w:val="20"/>
          <w:szCs w:val="20"/>
        </w:rPr>
        <w:t xml:space="preserve"> 12-310-2000 «Приемка в эксплуатацию законченных строительством объектов недвижимости на территории Московской области» заказчик (застройщик) был обязан при сдаче объекта в эксплуатацию представить комиссии в числе прочих документов </w:t>
      </w:r>
      <w:r>
        <w:rPr>
          <w:rFonts w:ascii="Verdana" w:hAnsi="Verdana" w:cs="Arial"/>
          <w:b/>
          <w:bCs/>
          <w:color w:val="000000"/>
          <w:sz w:val="20"/>
          <w:szCs w:val="20"/>
        </w:rPr>
        <w:t>технический паспорт </w:t>
      </w:r>
      <w:r>
        <w:rPr>
          <w:rFonts w:ascii="Verdana" w:hAnsi="Verdana" w:cs="Arial"/>
          <w:color w:val="000000"/>
          <w:sz w:val="20"/>
          <w:szCs w:val="20"/>
        </w:rPr>
        <w:t>БТИ.</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Таким образом, в законодательстве до 1 января 2013 года было установлено обязательное требование о проведении технического учета объектов жилищного фонда, в ходе которого формировался технический паспорт и (или) кадастровый паспорт.</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18"/>
          <w:szCs w:val="18"/>
        </w:rPr>
        <w:t>Согласно части 8 статьи 47 Федерального закона от 24 июля 2007 года</w:t>
      </w:r>
      <w:r>
        <w:rPr>
          <w:rFonts w:ascii="Verdana" w:hAnsi="Verdana" w:cs="Arial"/>
          <w:color w:val="000000"/>
          <w:sz w:val="18"/>
          <w:szCs w:val="18"/>
        </w:rPr>
        <w:br/>
        <w:t>№ 221-ФЗ «О государственном кадастре недвижимости» с 1 января 2013 года на всей территории России осуществляется государственный кадастровый учет зданий, и положения нормативных правовых актов в сфере осуществления государственного технического учета и технической инвентаризации объектов капитального строительства с указанной даты не применяются.</w:t>
      </w:r>
      <w:proofErr w:type="gramEnd"/>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20"/>
          <w:szCs w:val="20"/>
        </w:rPr>
        <w:t>В отношении многоквартирных домов, вводимых в эксплуатацию с начала 2013 года, осуществляется подготовка </w:t>
      </w:r>
      <w:r>
        <w:rPr>
          <w:rFonts w:ascii="Verdana" w:hAnsi="Verdana" w:cs="Arial"/>
          <w:b/>
          <w:bCs/>
          <w:color w:val="000000"/>
          <w:sz w:val="20"/>
          <w:szCs w:val="20"/>
        </w:rPr>
        <w:t>технического плана</w:t>
      </w:r>
      <w:r>
        <w:rPr>
          <w:rFonts w:ascii="Verdana" w:hAnsi="Verdana" w:cs="Arial"/>
          <w:color w:val="000000"/>
          <w:sz w:val="20"/>
          <w:szCs w:val="20"/>
        </w:rPr>
        <w:t xml:space="preserve"> (а не технического паспорта), поскольку согласно постановлению Правительства Российской Федерации от 1 марта 2013 года № 175 «Об установлении документа, необходимого для получения разрешения на ввод объекта в эксплуатацию» к документам, необходимым для принятия решения о выдаче разрешения на ввод объекта в эксплуатацию, относится </w:t>
      </w:r>
      <w:r>
        <w:rPr>
          <w:rFonts w:ascii="Verdana" w:hAnsi="Verdana" w:cs="Arial"/>
          <w:color w:val="000000"/>
          <w:sz w:val="20"/>
          <w:szCs w:val="20"/>
        </w:rPr>
        <w:lastRenderedPageBreak/>
        <w:t>технический план</w:t>
      </w:r>
      <w:proofErr w:type="gramEnd"/>
      <w:r>
        <w:rPr>
          <w:rFonts w:ascii="Verdana" w:hAnsi="Verdana" w:cs="Arial"/>
          <w:color w:val="000000"/>
          <w:sz w:val="20"/>
          <w:szCs w:val="20"/>
        </w:rPr>
        <w:t xml:space="preserve"> здания, </w:t>
      </w:r>
      <w:proofErr w:type="gramStart"/>
      <w:r>
        <w:rPr>
          <w:rFonts w:ascii="Verdana" w:hAnsi="Verdana" w:cs="Arial"/>
          <w:color w:val="000000"/>
          <w:sz w:val="20"/>
          <w:szCs w:val="20"/>
        </w:rPr>
        <w:t>подготовленный</w:t>
      </w:r>
      <w:proofErr w:type="gramEnd"/>
      <w:r>
        <w:rPr>
          <w:rFonts w:ascii="Verdana" w:hAnsi="Verdana" w:cs="Arial"/>
          <w:color w:val="000000"/>
          <w:sz w:val="20"/>
          <w:szCs w:val="20"/>
        </w:rPr>
        <w:t xml:space="preserve"> в соответствии с требованиями статьи 41 Федерального закона от 24 июля 2007 года № 221-ФЗ «О государственном кадастре недвижимости». Технический план содержит в себе сведения, необходимые для постановки объекта недвижимости на государственный кадастровый учет.</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20"/>
          <w:szCs w:val="20"/>
        </w:rPr>
        <w:t>Сведения о здании, за исключением сведений о местоположении его на земельном участке, указываются в техническом плане на основании представленных заказчиком кадастровых работ (в случае введения в эксплуатацию многоквартирного дома заказчиком является его застройщик), разрешения на ввод таких объектов недвижимости в эксплуатацию, проектной документации здания или изготовленного до 1 января 2013 года технического паспорта здания.</w:t>
      </w:r>
      <w:proofErr w:type="gramEnd"/>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Кроме того, в законодательстве отсутствует требование об обязательности наличия для многоквартирного дома технического паспорта или кадастрового паспорта как такового для проведения капитального ремонта.</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18"/>
          <w:szCs w:val="18"/>
        </w:rPr>
        <w:t xml:space="preserve">При этом Фонд обращает внимание на то, что если для проектирования капитального ремонта требуется проведение технического обследования жилых зданий, то согласно ВСН 57-88(р) «Положение по техническому обследованию жилых зданий», утвержденным приказом </w:t>
      </w:r>
      <w:proofErr w:type="spellStart"/>
      <w:r>
        <w:rPr>
          <w:rFonts w:ascii="Verdana" w:hAnsi="Verdana" w:cs="Arial"/>
          <w:color w:val="000000"/>
          <w:sz w:val="18"/>
          <w:szCs w:val="18"/>
        </w:rPr>
        <w:t>Госкомархитектуры</w:t>
      </w:r>
      <w:proofErr w:type="spellEnd"/>
      <w:r>
        <w:rPr>
          <w:rFonts w:ascii="Verdana" w:hAnsi="Verdana" w:cs="Arial"/>
          <w:color w:val="000000"/>
          <w:sz w:val="18"/>
          <w:szCs w:val="18"/>
        </w:rPr>
        <w:t xml:space="preserve"> при Госстрое СССР от 6 июля 1988 года № 191, такое обследование выполняется за счет средств, предназначенных на капитальный ремонт (реконструкцию) жилых зданий, и производится специализированными изыскательскими и</w:t>
      </w:r>
      <w:proofErr w:type="gramEnd"/>
      <w:r>
        <w:rPr>
          <w:rFonts w:ascii="Verdana" w:hAnsi="Verdana" w:cs="Arial"/>
          <w:color w:val="000000"/>
          <w:sz w:val="18"/>
          <w:szCs w:val="18"/>
        </w:rPr>
        <w:t xml:space="preserve"> проектно-изыскательскими организациями.</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proofErr w:type="gramStart"/>
      <w:r>
        <w:rPr>
          <w:rFonts w:ascii="Verdana" w:hAnsi="Verdana" w:cs="Arial"/>
          <w:color w:val="000000"/>
          <w:sz w:val="18"/>
          <w:szCs w:val="18"/>
        </w:rPr>
        <w:t>По мнению Фонда, такое техническое обследование многоквартирных домов допустимо финансировать за счет средств фонда капитального ремонта многоквартирных домов, поскольку эти работы могут включаться в состав работ по подготовке проектной документации на проведение капитального ремонта при условии, что в соответствии с частью 2 статьи 166 Жилищного кодекса Российской Федерации нормативным правовым актом субъекта Российской Федерации перечень услуг и (или) работ по</w:t>
      </w:r>
      <w:proofErr w:type="gramEnd"/>
      <w:r>
        <w:rPr>
          <w:rFonts w:ascii="Verdana" w:hAnsi="Verdana" w:cs="Arial"/>
          <w:color w:val="000000"/>
          <w:sz w:val="18"/>
          <w:szCs w:val="18"/>
        </w:rPr>
        <w:t xml:space="preserve">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дополнен соответствующими услугами и (или) работами.</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 xml:space="preserve">Если указанным актом субъекта Российской Федерации перечень услуг </w:t>
      </w:r>
      <w:proofErr w:type="gramStart"/>
      <w:r>
        <w:rPr>
          <w:rFonts w:ascii="Verdana" w:hAnsi="Verdana" w:cs="Arial"/>
          <w:color w:val="000000"/>
          <w:sz w:val="18"/>
          <w:szCs w:val="18"/>
        </w:rPr>
        <w:t>и(</w:t>
      </w:r>
      <w:proofErr w:type="gramEnd"/>
      <w:r>
        <w:rPr>
          <w:rFonts w:ascii="Verdana" w:hAnsi="Verdana" w:cs="Arial"/>
          <w:color w:val="000000"/>
          <w:sz w:val="18"/>
          <w:szCs w:val="18"/>
        </w:rPr>
        <w:t>или) работ по капитальному ремонту не расширен, то исходя из анализа статей 166 и 174 Жилищного кодекса на цели технического обследования многоквартирного дома могут быть затрачены лишь те средства фонда капитального ремонта, которые сформированы из части взносов на капитальный ремонт, превышающей установленный нормативным правовым актом субъекта Российской Федерации минимальный размер.</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 xml:space="preserve">Аналогичный подход к проведению </w:t>
      </w:r>
      <w:proofErr w:type="spellStart"/>
      <w:r>
        <w:rPr>
          <w:rFonts w:ascii="Verdana" w:hAnsi="Verdana" w:cs="Arial"/>
          <w:color w:val="000000"/>
          <w:sz w:val="18"/>
          <w:szCs w:val="18"/>
        </w:rPr>
        <w:t>энергоаудита</w:t>
      </w:r>
      <w:proofErr w:type="spellEnd"/>
      <w:r>
        <w:rPr>
          <w:rFonts w:ascii="Verdana" w:hAnsi="Verdana" w:cs="Arial"/>
          <w:color w:val="000000"/>
          <w:sz w:val="18"/>
          <w:szCs w:val="18"/>
        </w:rPr>
        <w:t xml:space="preserve"> - если нормативным правовым актом субъекта Российской Федерации перечень услуг </w:t>
      </w:r>
      <w:proofErr w:type="gramStart"/>
      <w:r>
        <w:rPr>
          <w:rFonts w:ascii="Verdana" w:hAnsi="Verdana" w:cs="Arial"/>
          <w:color w:val="000000"/>
          <w:sz w:val="18"/>
          <w:szCs w:val="18"/>
        </w:rPr>
        <w:t>и(</w:t>
      </w:r>
      <w:proofErr w:type="gramEnd"/>
      <w:r>
        <w:rPr>
          <w:rFonts w:ascii="Verdana" w:hAnsi="Verdana" w:cs="Arial"/>
          <w:color w:val="000000"/>
          <w:sz w:val="18"/>
          <w:szCs w:val="18"/>
        </w:rPr>
        <w:t xml:space="preserve">или) работ по капитальному ремонту не дополнен данным видом работ, то на цели </w:t>
      </w:r>
      <w:proofErr w:type="spellStart"/>
      <w:r>
        <w:rPr>
          <w:rFonts w:ascii="Verdana" w:hAnsi="Verdana" w:cs="Arial"/>
          <w:color w:val="000000"/>
          <w:sz w:val="18"/>
          <w:szCs w:val="18"/>
        </w:rPr>
        <w:t>энергоаудита</w:t>
      </w:r>
      <w:proofErr w:type="spellEnd"/>
      <w:r>
        <w:rPr>
          <w:rFonts w:ascii="Verdana" w:hAnsi="Verdana" w:cs="Arial"/>
          <w:color w:val="000000"/>
          <w:sz w:val="18"/>
          <w:szCs w:val="18"/>
        </w:rPr>
        <w:t xml:space="preserve"> многоквартирного дома могут быть затрачены лишь те средства фонда капитального ремонта, которые сформированы из части взносов на капитальный ремонт, превышающей установленный нормативным правовым актом субъекта Российской Федерации минимальный размер.</w:t>
      </w:r>
    </w:p>
    <w:p w:rsidR="00326D3E" w:rsidRDefault="00326D3E" w:rsidP="00326D3E">
      <w:pPr>
        <w:pStyle w:val="a9"/>
        <w:shd w:val="clear" w:color="auto" w:fill="EEEEEE"/>
        <w:spacing w:before="240" w:beforeAutospacing="0" w:line="273" w:lineRule="atLeast"/>
        <w:jc w:val="both"/>
        <w:rPr>
          <w:rFonts w:ascii="Arial" w:hAnsi="Arial" w:cs="Arial"/>
          <w:color w:val="000000"/>
          <w:sz w:val="18"/>
          <w:szCs w:val="18"/>
        </w:rPr>
      </w:pPr>
      <w:r>
        <w:rPr>
          <w:rFonts w:ascii="Verdana" w:hAnsi="Verdana" w:cs="Arial"/>
          <w:color w:val="000000"/>
          <w:sz w:val="18"/>
          <w:szCs w:val="18"/>
        </w:rPr>
        <w:t xml:space="preserve">Учитывая, что при формировании фонда капитального ремонта на счете регионального оператора  собственники уплачивают взносы в фонд капитального ремонта в размере минимального взноса, то в случае, если перечень услуг </w:t>
      </w:r>
      <w:proofErr w:type="gramStart"/>
      <w:r>
        <w:rPr>
          <w:rFonts w:ascii="Verdana" w:hAnsi="Verdana" w:cs="Arial"/>
          <w:color w:val="000000"/>
          <w:sz w:val="18"/>
          <w:szCs w:val="18"/>
        </w:rPr>
        <w:t>и(</w:t>
      </w:r>
      <w:proofErr w:type="gramEnd"/>
      <w:r>
        <w:rPr>
          <w:rFonts w:ascii="Verdana" w:hAnsi="Verdana" w:cs="Arial"/>
          <w:color w:val="000000"/>
          <w:sz w:val="18"/>
          <w:szCs w:val="18"/>
        </w:rPr>
        <w:t xml:space="preserve">или) работ по капитальному ремонту не </w:t>
      </w:r>
      <w:r>
        <w:rPr>
          <w:rFonts w:ascii="Verdana" w:hAnsi="Verdana" w:cs="Arial"/>
          <w:color w:val="000000"/>
          <w:sz w:val="18"/>
          <w:szCs w:val="18"/>
        </w:rPr>
        <w:lastRenderedPageBreak/>
        <w:t xml:space="preserve">дополнен работами по проведению технического обследования и </w:t>
      </w:r>
      <w:proofErr w:type="spellStart"/>
      <w:r>
        <w:rPr>
          <w:rFonts w:ascii="Verdana" w:hAnsi="Verdana" w:cs="Arial"/>
          <w:color w:val="000000"/>
          <w:sz w:val="18"/>
          <w:szCs w:val="18"/>
        </w:rPr>
        <w:t>энергоаудита</w:t>
      </w:r>
      <w:proofErr w:type="spellEnd"/>
      <w:r>
        <w:rPr>
          <w:rFonts w:ascii="Verdana" w:hAnsi="Verdana" w:cs="Arial"/>
          <w:color w:val="000000"/>
          <w:sz w:val="18"/>
          <w:szCs w:val="18"/>
        </w:rPr>
        <w:t>, использовать на проведение таких работ средства фонда капитального ремонта нельзя. Собственники могут принять решение о проведении данных работ, определив дополнительные источники их финансирования. Кроме того, такие работы могут быть проведены по решению и за счет иного лица (например, органа государственной власти, местного самоуправления), заинтересованного в наличии вышеуказанных документов.</w:t>
      </w:r>
    </w:p>
    <w:p w:rsidR="00554440" w:rsidRDefault="00554440" w:rsidP="00D75FB2">
      <w:pPr>
        <w:spacing w:after="0"/>
        <w:rPr>
          <w:rFonts w:ascii="Times New Roman" w:hAnsi="Times New Roman" w:cs="Times New Roman"/>
          <w:sz w:val="28"/>
          <w:szCs w:val="28"/>
        </w:rPr>
      </w:pPr>
      <w:bookmarkStart w:id="0" w:name="_GoBack"/>
      <w:bookmarkEnd w:id="0"/>
    </w:p>
    <w:sectPr w:rsidR="00554440" w:rsidSect="00554440">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E00" w:rsidRDefault="003C0E00" w:rsidP="00146009">
      <w:pPr>
        <w:spacing w:after="0" w:line="240" w:lineRule="auto"/>
      </w:pPr>
      <w:r>
        <w:separator/>
      </w:r>
    </w:p>
  </w:endnote>
  <w:endnote w:type="continuationSeparator" w:id="0">
    <w:p w:rsidR="003C0E00" w:rsidRDefault="003C0E00" w:rsidP="00146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E00" w:rsidRDefault="003C0E00" w:rsidP="00146009">
      <w:pPr>
        <w:spacing w:after="0" w:line="240" w:lineRule="auto"/>
      </w:pPr>
      <w:r>
        <w:separator/>
      </w:r>
    </w:p>
  </w:footnote>
  <w:footnote w:type="continuationSeparator" w:id="0">
    <w:p w:rsidR="003C0E00" w:rsidRDefault="003C0E00" w:rsidP="001460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528162"/>
      <w:docPartObj>
        <w:docPartGallery w:val="Page Numbers (Top of Page)"/>
        <w:docPartUnique/>
      </w:docPartObj>
    </w:sdtPr>
    <w:sdtEndPr/>
    <w:sdtContent>
      <w:p w:rsidR="00146009" w:rsidRDefault="00146009">
        <w:pPr>
          <w:pStyle w:val="a5"/>
          <w:jc w:val="center"/>
        </w:pPr>
        <w:r>
          <w:fldChar w:fldCharType="begin"/>
        </w:r>
        <w:r>
          <w:instrText>PAGE   \* MERGEFORMAT</w:instrText>
        </w:r>
        <w:r>
          <w:fldChar w:fldCharType="separate"/>
        </w:r>
        <w:r w:rsidR="00326D3E">
          <w:rPr>
            <w:noProof/>
          </w:rPr>
          <w:t>1</w:t>
        </w:r>
        <w:r>
          <w:fldChar w:fldCharType="end"/>
        </w:r>
      </w:p>
    </w:sdtContent>
  </w:sdt>
  <w:p w:rsidR="00146009" w:rsidRDefault="0014600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23C5C"/>
    <w:multiLevelType w:val="hybridMultilevel"/>
    <w:tmpl w:val="42960472"/>
    <w:lvl w:ilvl="0" w:tplc="4B9C04B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40A113DA"/>
    <w:multiLevelType w:val="hybridMultilevel"/>
    <w:tmpl w:val="B2CA7226"/>
    <w:lvl w:ilvl="0" w:tplc="8000231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5CD931D4"/>
    <w:multiLevelType w:val="hybridMultilevel"/>
    <w:tmpl w:val="31921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75A3EF1"/>
    <w:multiLevelType w:val="hybridMultilevel"/>
    <w:tmpl w:val="31141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FB2"/>
    <w:rsid w:val="00000886"/>
    <w:rsid w:val="00001BD9"/>
    <w:rsid w:val="00004C17"/>
    <w:rsid w:val="0000773D"/>
    <w:rsid w:val="00011745"/>
    <w:rsid w:val="00012CBA"/>
    <w:rsid w:val="00012FB7"/>
    <w:rsid w:val="00014E06"/>
    <w:rsid w:val="00017039"/>
    <w:rsid w:val="00020A97"/>
    <w:rsid w:val="00020B3D"/>
    <w:rsid w:val="00025567"/>
    <w:rsid w:val="00026023"/>
    <w:rsid w:val="0002730B"/>
    <w:rsid w:val="00030BA2"/>
    <w:rsid w:val="00031906"/>
    <w:rsid w:val="00032DB2"/>
    <w:rsid w:val="00034103"/>
    <w:rsid w:val="0003418D"/>
    <w:rsid w:val="00034F08"/>
    <w:rsid w:val="00035617"/>
    <w:rsid w:val="00040FC1"/>
    <w:rsid w:val="000422CE"/>
    <w:rsid w:val="0004623F"/>
    <w:rsid w:val="000466A7"/>
    <w:rsid w:val="000513D2"/>
    <w:rsid w:val="000514D5"/>
    <w:rsid w:val="000542BA"/>
    <w:rsid w:val="00054ED2"/>
    <w:rsid w:val="00055164"/>
    <w:rsid w:val="000553F8"/>
    <w:rsid w:val="00055621"/>
    <w:rsid w:val="00055B69"/>
    <w:rsid w:val="00056E2D"/>
    <w:rsid w:val="00056E8E"/>
    <w:rsid w:val="00060E8F"/>
    <w:rsid w:val="00062167"/>
    <w:rsid w:val="00062A07"/>
    <w:rsid w:val="00063674"/>
    <w:rsid w:val="00070589"/>
    <w:rsid w:val="00074D2F"/>
    <w:rsid w:val="000771B8"/>
    <w:rsid w:val="000777A5"/>
    <w:rsid w:val="00077FEE"/>
    <w:rsid w:val="000800C9"/>
    <w:rsid w:val="00081530"/>
    <w:rsid w:val="0008285E"/>
    <w:rsid w:val="0008482A"/>
    <w:rsid w:val="000851F6"/>
    <w:rsid w:val="000912B4"/>
    <w:rsid w:val="00091FAA"/>
    <w:rsid w:val="00094467"/>
    <w:rsid w:val="000951E4"/>
    <w:rsid w:val="0009709A"/>
    <w:rsid w:val="00097B79"/>
    <w:rsid w:val="00097C57"/>
    <w:rsid w:val="00097DC6"/>
    <w:rsid w:val="000A0717"/>
    <w:rsid w:val="000A1D5E"/>
    <w:rsid w:val="000A4F86"/>
    <w:rsid w:val="000A6626"/>
    <w:rsid w:val="000B1038"/>
    <w:rsid w:val="000B2F4B"/>
    <w:rsid w:val="000B7700"/>
    <w:rsid w:val="000C06DF"/>
    <w:rsid w:val="000C203F"/>
    <w:rsid w:val="000C27C2"/>
    <w:rsid w:val="000C45B5"/>
    <w:rsid w:val="000C4970"/>
    <w:rsid w:val="000C4A51"/>
    <w:rsid w:val="000C58CC"/>
    <w:rsid w:val="000D175F"/>
    <w:rsid w:val="000D3197"/>
    <w:rsid w:val="000E0CB9"/>
    <w:rsid w:val="000E0EE8"/>
    <w:rsid w:val="000E10A3"/>
    <w:rsid w:val="000E3A7F"/>
    <w:rsid w:val="000E6582"/>
    <w:rsid w:val="000E73E8"/>
    <w:rsid w:val="000E77E6"/>
    <w:rsid w:val="000E7915"/>
    <w:rsid w:val="000F2AB5"/>
    <w:rsid w:val="000F3902"/>
    <w:rsid w:val="000F5B7F"/>
    <w:rsid w:val="000F77E4"/>
    <w:rsid w:val="0010186B"/>
    <w:rsid w:val="00101AA1"/>
    <w:rsid w:val="00104760"/>
    <w:rsid w:val="0010615E"/>
    <w:rsid w:val="0010762B"/>
    <w:rsid w:val="001104A7"/>
    <w:rsid w:val="00111027"/>
    <w:rsid w:val="00114B60"/>
    <w:rsid w:val="00117709"/>
    <w:rsid w:val="00122AA6"/>
    <w:rsid w:val="00122C11"/>
    <w:rsid w:val="00124332"/>
    <w:rsid w:val="00124D29"/>
    <w:rsid w:val="0013141D"/>
    <w:rsid w:val="001316EF"/>
    <w:rsid w:val="001334DB"/>
    <w:rsid w:val="00133713"/>
    <w:rsid w:val="00134BD3"/>
    <w:rsid w:val="00135CA9"/>
    <w:rsid w:val="00136388"/>
    <w:rsid w:val="00137717"/>
    <w:rsid w:val="001401E3"/>
    <w:rsid w:val="00141383"/>
    <w:rsid w:val="001422B8"/>
    <w:rsid w:val="0014367C"/>
    <w:rsid w:val="001442F2"/>
    <w:rsid w:val="00146009"/>
    <w:rsid w:val="00151BFE"/>
    <w:rsid w:val="00153198"/>
    <w:rsid w:val="001555C8"/>
    <w:rsid w:val="001570DD"/>
    <w:rsid w:val="001578B2"/>
    <w:rsid w:val="00160EEB"/>
    <w:rsid w:val="00163203"/>
    <w:rsid w:val="00163B65"/>
    <w:rsid w:val="00163C99"/>
    <w:rsid w:val="00165CB3"/>
    <w:rsid w:val="00165CF8"/>
    <w:rsid w:val="00170764"/>
    <w:rsid w:val="00171CAA"/>
    <w:rsid w:val="00171DC1"/>
    <w:rsid w:val="001748BE"/>
    <w:rsid w:val="00176B1D"/>
    <w:rsid w:val="00183D5F"/>
    <w:rsid w:val="001841AC"/>
    <w:rsid w:val="0018504E"/>
    <w:rsid w:val="0018789D"/>
    <w:rsid w:val="0018797B"/>
    <w:rsid w:val="001906B3"/>
    <w:rsid w:val="00194548"/>
    <w:rsid w:val="00197D32"/>
    <w:rsid w:val="001A29E7"/>
    <w:rsid w:val="001A3BFB"/>
    <w:rsid w:val="001A3CDE"/>
    <w:rsid w:val="001B3D75"/>
    <w:rsid w:val="001B50E8"/>
    <w:rsid w:val="001B55C0"/>
    <w:rsid w:val="001B639E"/>
    <w:rsid w:val="001B6542"/>
    <w:rsid w:val="001B6F4E"/>
    <w:rsid w:val="001B78C2"/>
    <w:rsid w:val="001C2214"/>
    <w:rsid w:val="001C256C"/>
    <w:rsid w:val="001C4A33"/>
    <w:rsid w:val="001C6060"/>
    <w:rsid w:val="001C7513"/>
    <w:rsid w:val="001C7969"/>
    <w:rsid w:val="001D0424"/>
    <w:rsid w:val="001D7BD6"/>
    <w:rsid w:val="001E1997"/>
    <w:rsid w:val="001E4142"/>
    <w:rsid w:val="001E580A"/>
    <w:rsid w:val="001F0907"/>
    <w:rsid w:val="001F0A1B"/>
    <w:rsid w:val="001F113F"/>
    <w:rsid w:val="001F169C"/>
    <w:rsid w:val="001F1FC1"/>
    <w:rsid w:val="001F24BD"/>
    <w:rsid w:val="001F52EE"/>
    <w:rsid w:val="001F7288"/>
    <w:rsid w:val="001F7AEA"/>
    <w:rsid w:val="00200BC0"/>
    <w:rsid w:val="00201117"/>
    <w:rsid w:val="00203760"/>
    <w:rsid w:val="00203EE9"/>
    <w:rsid w:val="00205433"/>
    <w:rsid w:val="00206032"/>
    <w:rsid w:val="00206DCA"/>
    <w:rsid w:val="002108D1"/>
    <w:rsid w:val="00213EBA"/>
    <w:rsid w:val="00217242"/>
    <w:rsid w:val="0021772D"/>
    <w:rsid w:val="00224F30"/>
    <w:rsid w:val="00225818"/>
    <w:rsid w:val="002268D5"/>
    <w:rsid w:val="00226A0F"/>
    <w:rsid w:val="00226DB5"/>
    <w:rsid w:val="002275B1"/>
    <w:rsid w:val="00232F94"/>
    <w:rsid w:val="00233A5D"/>
    <w:rsid w:val="00236156"/>
    <w:rsid w:val="00236E7F"/>
    <w:rsid w:val="002374D9"/>
    <w:rsid w:val="002412C3"/>
    <w:rsid w:val="00243C77"/>
    <w:rsid w:val="00245187"/>
    <w:rsid w:val="00250DBF"/>
    <w:rsid w:val="00251604"/>
    <w:rsid w:val="00252A91"/>
    <w:rsid w:val="002539EC"/>
    <w:rsid w:val="0025410B"/>
    <w:rsid w:val="00254F39"/>
    <w:rsid w:val="00256AEA"/>
    <w:rsid w:val="00260B0E"/>
    <w:rsid w:val="0026162D"/>
    <w:rsid w:val="002627E0"/>
    <w:rsid w:val="00264996"/>
    <w:rsid w:val="0026507A"/>
    <w:rsid w:val="00265B05"/>
    <w:rsid w:val="00270364"/>
    <w:rsid w:val="002725C5"/>
    <w:rsid w:val="002728AD"/>
    <w:rsid w:val="00272A8B"/>
    <w:rsid w:val="00272F7A"/>
    <w:rsid w:val="002758A5"/>
    <w:rsid w:val="00276E0F"/>
    <w:rsid w:val="0027773E"/>
    <w:rsid w:val="0028034A"/>
    <w:rsid w:val="00280B33"/>
    <w:rsid w:val="00287C25"/>
    <w:rsid w:val="00292C49"/>
    <w:rsid w:val="00293FAA"/>
    <w:rsid w:val="002A0CA1"/>
    <w:rsid w:val="002A3A7E"/>
    <w:rsid w:val="002B1B9A"/>
    <w:rsid w:val="002B6960"/>
    <w:rsid w:val="002B78EE"/>
    <w:rsid w:val="002C1594"/>
    <w:rsid w:val="002C2FD2"/>
    <w:rsid w:val="002C4B5C"/>
    <w:rsid w:val="002C614B"/>
    <w:rsid w:val="002D12ED"/>
    <w:rsid w:val="002D2F7E"/>
    <w:rsid w:val="002D6476"/>
    <w:rsid w:val="002E0095"/>
    <w:rsid w:val="002E0268"/>
    <w:rsid w:val="002E0AFF"/>
    <w:rsid w:val="002E0CE8"/>
    <w:rsid w:val="002E0FD6"/>
    <w:rsid w:val="002E3F30"/>
    <w:rsid w:val="002E7E24"/>
    <w:rsid w:val="002F181E"/>
    <w:rsid w:val="002F5767"/>
    <w:rsid w:val="002F58A0"/>
    <w:rsid w:val="002F72F2"/>
    <w:rsid w:val="00301401"/>
    <w:rsid w:val="003028D4"/>
    <w:rsid w:val="00302ADA"/>
    <w:rsid w:val="00303045"/>
    <w:rsid w:val="003050AD"/>
    <w:rsid w:val="00305343"/>
    <w:rsid w:val="00305AF4"/>
    <w:rsid w:val="00310B44"/>
    <w:rsid w:val="00310C73"/>
    <w:rsid w:val="00313F2D"/>
    <w:rsid w:val="00314847"/>
    <w:rsid w:val="00314B36"/>
    <w:rsid w:val="00315C57"/>
    <w:rsid w:val="00316FAA"/>
    <w:rsid w:val="0032087D"/>
    <w:rsid w:val="00320D11"/>
    <w:rsid w:val="00320EE2"/>
    <w:rsid w:val="00324ADA"/>
    <w:rsid w:val="00326D3E"/>
    <w:rsid w:val="00331F4F"/>
    <w:rsid w:val="00333592"/>
    <w:rsid w:val="003335FA"/>
    <w:rsid w:val="00333640"/>
    <w:rsid w:val="003338C3"/>
    <w:rsid w:val="003348F3"/>
    <w:rsid w:val="0033512A"/>
    <w:rsid w:val="003378B8"/>
    <w:rsid w:val="0034023B"/>
    <w:rsid w:val="00346F28"/>
    <w:rsid w:val="00350532"/>
    <w:rsid w:val="0035168D"/>
    <w:rsid w:val="00351EAC"/>
    <w:rsid w:val="00352615"/>
    <w:rsid w:val="003526BD"/>
    <w:rsid w:val="00354D99"/>
    <w:rsid w:val="00356151"/>
    <w:rsid w:val="00360279"/>
    <w:rsid w:val="00363399"/>
    <w:rsid w:val="00363E6B"/>
    <w:rsid w:val="00364AB2"/>
    <w:rsid w:val="00364CAD"/>
    <w:rsid w:val="00367837"/>
    <w:rsid w:val="00372369"/>
    <w:rsid w:val="00372DC7"/>
    <w:rsid w:val="0037372C"/>
    <w:rsid w:val="003753E9"/>
    <w:rsid w:val="003773C3"/>
    <w:rsid w:val="00377E18"/>
    <w:rsid w:val="00380571"/>
    <w:rsid w:val="003818F0"/>
    <w:rsid w:val="0038238D"/>
    <w:rsid w:val="003860DC"/>
    <w:rsid w:val="003906B7"/>
    <w:rsid w:val="00396AEC"/>
    <w:rsid w:val="003A0D15"/>
    <w:rsid w:val="003A0ECF"/>
    <w:rsid w:val="003A14D4"/>
    <w:rsid w:val="003A397F"/>
    <w:rsid w:val="003A3EC2"/>
    <w:rsid w:val="003A5C14"/>
    <w:rsid w:val="003B11DD"/>
    <w:rsid w:val="003B2021"/>
    <w:rsid w:val="003B23A7"/>
    <w:rsid w:val="003C0A28"/>
    <w:rsid w:val="003C0E00"/>
    <w:rsid w:val="003C3ABD"/>
    <w:rsid w:val="003C4168"/>
    <w:rsid w:val="003C4361"/>
    <w:rsid w:val="003C6BD4"/>
    <w:rsid w:val="003C6D56"/>
    <w:rsid w:val="003C7350"/>
    <w:rsid w:val="003D0D4F"/>
    <w:rsid w:val="003D31FE"/>
    <w:rsid w:val="003D33F5"/>
    <w:rsid w:val="003D6800"/>
    <w:rsid w:val="003E0750"/>
    <w:rsid w:val="003E19CF"/>
    <w:rsid w:val="003E384B"/>
    <w:rsid w:val="003E54C8"/>
    <w:rsid w:val="003E75E9"/>
    <w:rsid w:val="003F080C"/>
    <w:rsid w:val="003F0D02"/>
    <w:rsid w:val="003F1D32"/>
    <w:rsid w:val="003F2E09"/>
    <w:rsid w:val="003F4F1F"/>
    <w:rsid w:val="00400769"/>
    <w:rsid w:val="00402BA7"/>
    <w:rsid w:val="00404B51"/>
    <w:rsid w:val="00410325"/>
    <w:rsid w:val="004104B9"/>
    <w:rsid w:val="00414ECC"/>
    <w:rsid w:val="00424444"/>
    <w:rsid w:val="00424793"/>
    <w:rsid w:val="004248C4"/>
    <w:rsid w:val="004259D0"/>
    <w:rsid w:val="0042652A"/>
    <w:rsid w:val="004321C5"/>
    <w:rsid w:val="00434FC0"/>
    <w:rsid w:val="00436222"/>
    <w:rsid w:val="0043771A"/>
    <w:rsid w:val="0044098B"/>
    <w:rsid w:val="00441C9E"/>
    <w:rsid w:val="00447902"/>
    <w:rsid w:val="00450959"/>
    <w:rsid w:val="00451095"/>
    <w:rsid w:val="00451623"/>
    <w:rsid w:val="004539C5"/>
    <w:rsid w:val="00453BC8"/>
    <w:rsid w:val="004546A2"/>
    <w:rsid w:val="00454809"/>
    <w:rsid w:val="00455010"/>
    <w:rsid w:val="00456324"/>
    <w:rsid w:val="0046083F"/>
    <w:rsid w:val="004631F5"/>
    <w:rsid w:val="0046427F"/>
    <w:rsid w:val="00466DB2"/>
    <w:rsid w:val="00472F83"/>
    <w:rsid w:val="004735A3"/>
    <w:rsid w:val="004763C7"/>
    <w:rsid w:val="004777E7"/>
    <w:rsid w:val="00480458"/>
    <w:rsid w:val="004808B8"/>
    <w:rsid w:val="0048401E"/>
    <w:rsid w:val="00485F01"/>
    <w:rsid w:val="00491BE3"/>
    <w:rsid w:val="00491F6D"/>
    <w:rsid w:val="004966D1"/>
    <w:rsid w:val="00497F85"/>
    <w:rsid w:val="004A0537"/>
    <w:rsid w:val="004A105D"/>
    <w:rsid w:val="004A3ABB"/>
    <w:rsid w:val="004A54A9"/>
    <w:rsid w:val="004A7A88"/>
    <w:rsid w:val="004A7D66"/>
    <w:rsid w:val="004A7D75"/>
    <w:rsid w:val="004B0D0F"/>
    <w:rsid w:val="004B11C6"/>
    <w:rsid w:val="004B14C1"/>
    <w:rsid w:val="004B1BDB"/>
    <w:rsid w:val="004B3B70"/>
    <w:rsid w:val="004B5043"/>
    <w:rsid w:val="004B6FCB"/>
    <w:rsid w:val="004B74E7"/>
    <w:rsid w:val="004B7F5F"/>
    <w:rsid w:val="004C0126"/>
    <w:rsid w:val="004D3E9E"/>
    <w:rsid w:val="004D4825"/>
    <w:rsid w:val="004D4E72"/>
    <w:rsid w:val="004D6D72"/>
    <w:rsid w:val="004D6E68"/>
    <w:rsid w:val="004E0B0B"/>
    <w:rsid w:val="004E144C"/>
    <w:rsid w:val="004E2068"/>
    <w:rsid w:val="004E66E0"/>
    <w:rsid w:val="004E6B18"/>
    <w:rsid w:val="004F6328"/>
    <w:rsid w:val="004F6B0C"/>
    <w:rsid w:val="00504AAF"/>
    <w:rsid w:val="00505C17"/>
    <w:rsid w:val="00506280"/>
    <w:rsid w:val="0050774E"/>
    <w:rsid w:val="00511AE6"/>
    <w:rsid w:val="00512F7A"/>
    <w:rsid w:val="00513966"/>
    <w:rsid w:val="005151D9"/>
    <w:rsid w:val="00516EAD"/>
    <w:rsid w:val="00517B66"/>
    <w:rsid w:val="00520FBD"/>
    <w:rsid w:val="00523027"/>
    <w:rsid w:val="005246F0"/>
    <w:rsid w:val="00526A68"/>
    <w:rsid w:val="00535209"/>
    <w:rsid w:val="00535ADA"/>
    <w:rsid w:val="005363ED"/>
    <w:rsid w:val="00540507"/>
    <w:rsid w:val="00540CC5"/>
    <w:rsid w:val="00542D53"/>
    <w:rsid w:val="00543623"/>
    <w:rsid w:val="005447D0"/>
    <w:rsid w:val="0054631B"/>
    <w:rsid w:val="00546F4E"/>
    <w:rsid w:val="00547E55"/>
    <w:rsid w:val="00551362"/>
    <w:rsid w:val="00551F06"/>
    <w:rsid w:val="00551F62"/>
    <w:rsid w:val="0055245C"/>
    <w:rsid w:val="00553066"/>
    <w:rsid w:val="00554440"/>
    <w:rsid w:val="00554C79"/>
    <w:rsid w:val="00555C08"/>
    <w:rsid w:val="00567FC8"/>
    <w:rsid w:val="005762C3"/>
    <w:rsid w:val="00576F56"/>
    <w:rsid w:val="00580AAB"/>
    <w:rsid w:val="00583639"/>
    <w:rsid w:val="00584839"/>
    <w:rsid w:val="005865BE"/>
    <w:rsid w:val="00586EC7"/>
    <w:rsid w:val="005872E9"/>
    <w:rsid w:val="005875F4"/>
    <w:rsid w:val="00591108"/>
    <w:rsid w:val="00593AD0"/>
    <w:rsid w:val="0059406C"/>
    <w:rsid w:val="00594232"/>
    <w:rsid w:val="005962FC"/>
    <w:rsid w:val="005965F8"/>
    <w:rsid w:val="005A08E4"/>
    <w:rsid w:val="005A2669"/>
    <w:rsid w:val="005A4A2F"/>
    <w:rsid w:val="005A740D"/>
    <w:rsid w:val="005A799D"/>
    <w:rsid w:val="005B08FA"/>
    <w:rsid w:val="005B3C6E"/>
    <w:rsid w:val="005B5171"/>
    <w:rsid w:val="005B53F3"/>
    <w:rsid w:val="005B659D"/>
    <w:rsid w:val="005B7796"/>
    <w:rsid w:val="005C0798"/>
    <w:rsid w:val="005C0960"/>
    <w:rsid w:val="005C1465"/>
    <w:rsid w:val="005C2A18"/>
    <w:rsid w:val="005C3A4D"/>
    <w:rsid w:val="005C3BB5"/>
    <w:rsid w:val="005C452A"/>
    <w:rsid w:val="005C4F74"/>
    <w:rsid w:val="005C5380"/>
    <w:rsid w:val="005C7446"/>
    <w:rsid w:val="005C7814"/>
    <w:rsid w:val="005D039F"/>
    <w:rsid w:val="005D04EF"/>
    <w:rsid w:val="005D10A2"/>
    <w:rsid w:val="005D3F17"/>
    <w:rsid w:val="005D6913"/>
    <w:rsid w:val="005E1DA8"/>
    <w:rsid w:val="005E2402"/>
    <w:rsid w:val="005E46C8"/>
    <w:rsid w:val="005E55C7"/>
    <w:rsid w:val="005F05DB"/>
    <w:rsid w:val="005F09B3"/>
    <w:rsid w:val="005F1DAD"/>
    <w:rsid w:val="005F271F"/>
    <w:rsid w:val="005F4376"/>
    <w:rsid w:val="005F5157"/>
    <w:rsid w:val="005F5969"/>
    <w:rsid w:val="005F74E1"/>
    <w:rsid w:val="006009DF"/>
    <w:rsid w:val="00600D37"/>
    <w:rsid w:val="006013D1"/>
    <w:rsid w:val="0060154E"/>
    <w:rsid w:val="00601A3E"/>
    <w:rsid w:val="00601C67"/>
    <w:rsid w:val="00604EBC"/>
    <w:rsid w:val="006055F8"/>
    <w:rsid w:val="006077AA"/>
    <w:rsid w:val="00607E84"/>
    <w:rsid w:val="00611B19"/>
    <w:rsid w:val="00612E12"/>
    <w:rsid w:val="00615808"/>
    <w:rsid w:val="006165FF"/>
    <w:rsid w:val="00617BB4"/>
    <w:rsid w:val="00617F86"/>
    <w:rsid w:val="006227F1"/>
    <w:rsid w:val="00623CB8"/>
    <w:rsid w:val="00624F98"/>
    <w:rsid w:val="006261C0"/>
    <w:rsid w:val="00630430"/>
    <w:rsid w:val="006306F1"/>
    <w:rsid w:val="00630892"/>
    <w:rsid w:val="006313C6"/>
    <w:rsid w:val="00631781"/>
    <w:rsid w:val="006320B5"/>
    <w:rsid w:val="006323BA"/>
    <w:rsid w:val="00633ED8"/>
    <w:rsid w:val="0063551A"/>
    <w:rsid w:val="00636ABA"/>
    <w:rsid w:val="00640513"/>
    <w:rsid w:val="00642E32"/>
    <w:rsid w:val="0065172F"/>
    <w:rsid w:val="0065491A"/>
    <w:rsid w:val="00655EBC"/>
    <w:rsid w:val="00663292"/>
    <w:rsid w:val="00666AA5"/>
    <w:rsid w:val="00667092"/>
    <w:rsid w:val="0067014B"/>
    <w:rsid w:val="006701AB"/>
    <w:rsid w:val="00671743"/>
    <w:rsid w:val="0067756B"/>
    <w:rsid w:val="00680D91"/>
    <w:rsid w:val="00680F03"/>
    <w:rsid w:val="00681160"/>
    <w:rsid w:val="006820A2"/>
    <w:rsid w:val="0068265B"/>
    <w:rsid w:val="00683D61"/>
    <w:rsid w:val="00685D1B"/>
    <w:rsid w:val="006930B6"/>
    <w:rsid w:val="006948D9"/>
    <w:rsid w:val="00697294"/>
    <w:rsid w:val="006A12BB"/>
    <w:rsid w:val="006A1E21"/>
    <w:rsid w:val="006A2182"/>
    <w:rsid w:val="006A36C2"/>
    <w:rsid w:val="006A4FB7"/>
    <w:rsid w:val="006A672C"/>
    <w:rsid w:val="006A6B00"/>
    <w:rsid w:val="006B17A7"/>
    <w:rsid w:val="006B2D41"/>
    <w:rsid w:val="006B3690"/>
    <w:rsid w:val="006B5150"/>
    <w:rsid w:val="006B6FD8"/>
    <w:rsid w:val="006C08D2"/>
    <w:rsid w:val="006C159E"/>
    <w:rsid w:val="006C4E43"/>
    <w:rsid w:val="006C7268"/>
    <w:rsid w:val="006D03A4"/>
    <w:rsid w:val="006D0D9F"/>
    <w:rsid w:val="006D229D"/>
    <w:rsid w:val="006D281A"/>
    <w:rsid w:val="006D2B84"/>
    <w:rsid w:val="006D3B82"/>
    <w:rsid w:val="006D5D11"/>
    <w:rsid w:val="006D606C"/>
    <w:rsid w:val="006E1F1D"/>
    <w:rsid w:val="006E600E"/>
    <w:rsid w:val="006E6AD3"/>
    <w:rsid w:val="006E6B73"/>
    <w:rsid w:val="006F0DA1"/>
    <w:rsid w:val="006F1566"/>
    <w:rsid w:val="006F43F3"/>
    <w:rsid w:val="006F4C59"/>
    <w:rsid w:val="006F71BF"/>
    <w:rsid w:val="006F7270"/>
    <w:rsid w:val="00702287"/>
    <w:rsid w:val="0070518E"/>
    <w:rsid w:val="00706198"/>
    <w:rsid w:val="007140AA"/>
    <w:rsid w:val="0071557E"/>
    <w:rsid w:val="00717D24"/>
    <w:rsid w:val="007210BC"/>
    <w:rsid w:val="00725CA8"/>
    <w:rsid w:val="007334F9"/>
    <w:rsid w:val="00734231"/>
    <w:rsid w:val="00735983"/>
    <w:rsid w:val="00736CB5"/>
    <w:rsid w:val="007371CD"/>
    <w:rsid w:val="007376D9"/>
    <w:rsid w:val="00737993"/>
    <w:rsid w:val="00741B3C"/>
    <w:rsid w:val="00741DA6"/>
    <w:rsid w:val="00743485"/>
    <w:rsid w:val="007452D6"/>
    <w:rsid w:val="00747692"/>
    <w:rsid w:val="007501D7"/>
    <w:rsid w:val="007505A7"/>
    <w:rsid w:val="0075178F"/>
    <w:rsid w:val="00755213"/>
    <w:rsid w:val="00760069"/>
    <w:rsid w:val="007606D1"/>
    <w:rsid w:val="007712A8"/>
    <w:rsid w:val="00773761"/>
    <w:rsid w:val="00773D4D"/>
    <w:rsid w:val="00775B42"/>
    <w:rsid w:val="00775BD4"/>
    <w:rsid w:val="00775E46"/>
    <w:rsid w:val="0077692A"/>
    <w:rsid w:val="007840D1"/>
    <w:rsid w:val="00784DDA"/>
    <w:rsid w:val="00784DE8"/>
    <w:rsid w:val="00787DF3"/>
    <w:rsid w:val="00790210"/>
    <w:rsid w:val="00790881"/>
    <w:rsid w:val="00790EB1"/>
    <w:rsid w:val="0079101A"/>
    <w:rsid w:val="007910EF"/>
    <w:rsid w:val="00792BCE"/>
    <w:rsid w:val="00795977"/>
    <w:rsid w:val="007A0920"/>
    <w:rsid w:val="007A412A"/>
    <w:rsid w:val="007A4C6B"/>
    <w:rsid w:val="007A60F9"/>
    <w:rsid w:val="007A7F23"/>
    <w:rsid w:val="007B2C8A"/>
    <w:rsid w:val="007B4955"/>
    <w:rsid w:val="007B4A94"/>
    <w:rsid w:val="007B52DC"/>
    <w:rsid w:val="007B5EFF"/>
    <w:rsid w:val="007B7330"/>
    <w:rsid w:val="007B7CF9"/>
    <w:rsid w:val="007C0A58"/>
    <w:rsid w:val="007C3458"/>
    <w:rsid w:val="007C5F08"/>
    <w:rsid w:val="007C742B"/>
    <w:rsid w:val="007C7D9A"/>
    <w:rsid w:val="007D0FA9"/>
    <w:rsid w:val="007D126F"/>
    <w:rsid w:val="007D3A79"/>
    <w:rsid w:val="007D482D"/>
    <w:rsid w:val="007D764D"/>
    <w:rsid w:val="007E161A"/>
    <w:rsid w:val="007E2A18"/>
    <w:rsid w:val="007E3188"/>
    <w:rsid w:val="007E3982"/>
    <w:rsid w:val="007E565E"/>
    <w:rsid w:val="007E6ECE"/>
    <w:rsid w:val="007E7985"/>
    <w:rsid w:val="007F2217"/>
    <w:rsid w:val="007F5F37"/>
    <w:rsid w:val="007F6502"/>
    <w:rsid w:val="008025A5"/>
    <w:rsid w:val="00802DB8"/>
    <w:rsid w:val="00803601"/>
    <w:rsid w:val="00803B45"/>
    <w:rsid w:val="008050BF"/>
    <w:rsid w:val="0080550D"/>
    <w:rsid w:val="0080567E"/>
    <w:rsid w:val="0080741F"/>
    <w:rsid w:val="00807F6A"/>
    <w:rsid w:val="0081267B"/>
    <w:rsid w:val="00812869"/>
    <w:rsid w:val="008128C7"/>
    <w:rsid w:val="00812D9E"/>
    <w:rsid w:val="00815AA9"/>
    <w:rsid w:val="00816BDD"/>
    <w:rsid w:val="00817AE1"/>
    <w:rsid w:val="00820E8D"/>
    <w:rsid w:val="00823821"/>
    <w:rsid w:val="00824B8B"/>
    <w:rsid w:val="0082626F"/>
    <w:rsid w:val="0083176C"/>
    <w:rsid w:val="00833106"/>
    <w:rsid w:val="00833E55"/>
    <w:rsid w:val="00835D0F"/>
    <w:rsid w:val="00840093"/>
    <w:rsid w:val="008464AE"/>
    <w:rsid w:val="00846A93"/>
    <w:rsid w:val="00855814"/>
    <w:rsid w:val="00855D0A"/>
    <w:rsid w:val="0086047A"/>
    <w:rsid w:val="00866629"/>
    <w:rsid w:val="00866D55"/>
    <w:rsid w:val="00867DAD"/>
    <w:rsid w:val="00870E60"/>
    <w:rsid w:val="0087118D"/>
    <w:rsid w:val="0087345B"/>
    <w:rsid w:val="008743A7"/>
    <w:rsid w:val="00876953"/>
    <w:rsid w:val="00876F32"/>
    <w:rsid w:val="0087763F"/>
    <w:rsid w:val="00883065"/>
    <w:rsid w:val="008877FD"/>
    <w:rsid w:val="00890276"/>
    <w:rsid w:val="008907AD"/>
    <w:rsid w:val="00890D90"/>
    <w:rsid w:val="0089240B"/>
    <w:rsid w:val="0089437D"/>
    <w:rsid w:val="008953D5"/>
    <w:rsid w:val="00897AF5"/>
    <w:rsid w:val="008A03E2"/>
    <w:rsid w:val="008A0D83"/>
    <w:rsid w:val="008A17EB"/>
    <w:rsid w:val="008A30CD"/>
    <w:rsid w:val="008A5193"/>
    <w:rsid w:val="008A7A3F"/>
    <w:rsid w:val="008B07EC"/>
    <w:rsid w:val="008B192C"/>
    <w:rsid w:val="008B3A57"/>
    <w:rsid w:val="008B569F"/>
    <w:rsid w:val="008B6CF2"/>
    <w:rsid w:val="008C2C03"/>
    <w:rsid w:val="008C3780"/>
    <w:rsid w:val="008C448C"/>
    <w:rsid w:val="008C5760"/>
    <w:rsid w:val="008C62B7"/>
    <w:rsid w:val="008D2511"/>
    <w:rsid w:val="008D6315"/>
    <w:rsid w:val="008D6DDB"/>
    <w:rsid w:val="008E040D"/>
    <w:rsid w:val="008E1DF7"/>
    <w:rsid w:val="008E3CDF"/>
    <w:rsid w:val="008F1D6D"/>
    <w:rsid w:val="008F3FDB"/>
    <w:rsid w:val="008F41EC"/>
    <w:rsid w:val="008F6B2C"/>
    <w:rsid w:val="0090418A"/>
    <w:rsid w:val="00906005"/>
    <w:rsid w:val="00906271"/>
    <w:rsid w:val="009104F2"/>
    <w:rsid w:val="00910BEF"/>
    <w:rsid w:val="009117B3"/>
    <w:rsid w:val="009121DB"/>
    <w:rsid w:val="00912231"/>
    <w:rsid w:val="00913387"/>
    <w:rsid w:val="00915BAB"/>
    <w:rsid w:val="00916D69"/>
    <w:rsid w:val="0091751C"/>
    <w:rsid w:val="00921A69"/>
    <w:rsid w:val="009236CA"/>
    <w:rsid w:val="00923FBD"/>
    <w:rsid w:val="009272A7"/>
    <w:rsid w:val="009276EE"/>
    <w:rsid w:val="0093016B"/>
    <w:rsid w:val="0093257F"/>
    <w:rsid w:val="00932FF3"/>
    <w:rsid w:val="00934ACB"/>
    <w:rsid w:val="0093544C"/>
    <w:rsid w:val="00935B83"/>
    <w:rsid w:val="0093673F"/>
    <w:rsid w:val="00936E3A"/>
    <w:rsid w:val="0094148F"/>
    <w:rsid w:val="009457AB"/>
    <w:rsid w:val="0094723C"/>
    <w:rsid w:val="00950AC2"/>
    <w:rsid w:val="009515B1"/>
    <w:rsid w:val="00952A68"/>
    <w:rsid w:val="009549E6"/>
    <w:rsid w:val="009552D8"/>
    <w:rsid w:val="00957874"/>
    <w:rsid w:val="00961150"/>
    <w:rsid w:val="0096158B"/>
    <w:rsid w:val="00965C11"/>
    <w:rsid w:val="00966F53"/>
    <w:rsid w:val="00966F6D"/>
    <w:rsid w:val="00967BFF"/>
    <w:rsid w:val="00972E71"/>
    <w:rsid w:val="009733A9"/>
    <w:rsid w:val="0097506A"/>
    <w:rsid w:val="00977C4C"/>
    <w:rsid w:val="00983018"/>
    <w:rsid w:val="009843BA"/>
    <w:rsid w:val="009861BF"/>
    <w:rsid w:val="00987799"/>
    <w:rsid w:val="00987BB3"/>
    <w:rsid w:val="00992AC7"/>
    <w:rsid w:val="00994BE5"/>
    <w:rsid w:val="009953B5"/>
    <w:rsid w:val="00996A9D"/>
    <w:rsid w:val="00996ED5"/>
    <w:rsid w:val="00997F4B"/>
    <w:rsid w:val="009A2357"/>
    <w:rsid w:val="009A27FF"/>
    <w:rsid w:val="009A2892"/>
    <w:rsid w:val="009A4B87"/>
    <w:rsid w:val="009A4BBA"/>
    <w:rsid w:val="009B1203"/>
    <w:rsid w:val="009B24FB"/>
    <w:rsid w:val="009B26A4"/>
    <w:rsid w:val="009B542A"/>
    <w:rsid w:val="009B6453"/>
    <w:rsid w:val="009B6460"/>
    <w:rsid w:val="009B74C7"/>
    <w:rsid w:val="009C06FF"/>
    <w:rsid w:val="009C27F2"/>
    <w:rsid w:val="009C3C56"/>
    <w:rsid w:val="009D1B21"/>
    <w:rsid w:val="009D22E7"/>
    <w:rsid w:val="009D66CC"/>
    <w:rsid w:val="009D6C70"/>
    <w:rsid w:val="009D7252"/>
    <w:rsid w:val="009E1815"/>
    <w:rsid w:val="009E2E97"/>
    <w:rsid w:val="009E3735"/>
    <w:rsid w:val="009E4F4E"/>
    <w:rsid w:val="009E6B8D"/>
    <w:rsid w:val="009F1234"/>
    <w:rsid w:val="009F3F10"/>
    <w:rsid w:val="009F50C5"/>
    <w:rsid w:val="009F51B8"/>
    <w:rsid w:val="009F5E4A"/>
    <w:rsid w:val="009F7D45"/>
    <w:rsid w:val="00A00D7C"/>
    <w:rsid w:val="00A03179"/>
    <w:rsid w:val="00A1007D"/>
    <w:rsid w:val="00A106A5"/>
    <w:rsid w:val="00A10709"/>
    <w:rsid w:val="00A1209C"/>
    <w:rsid w:val="00A13943"/>
    <w:rsid w:val="00A142D2"/>
    <w:rsid w:val="00A14FD2"/>
    <w:rsid w:val="00A210F2"/>
    <w:rsid w:val="00A21D69"/>
    <w:rsid w:val="00A249C7"/>
    <w:rsid w:val="00A25879"/>
    <w:rsid w:val="00A258E7"/>
    <w:rsid w:val="00A300A9"/>
    <w:rsid w:val="00A30182"/>
    <w:rsid w:val="00A3037E"/>
    <w:rsid w:val="00A3041A"/>
    <w:rsid w:val="00A321AE"/>
    <w:rsid w:val="00A330DF"/>
    <w:rsid w:val="00A41EB3"/>
    <w:rsid w:val="00A4352F"/>
    <w:rsid w:val="00A445F7"/>
    <w:rsid w:val="00A51C52"/>
    <w:rsid w:val="00A51FB9"/>
    <w:rsid w:val="00A52BDB"/>
    <w:rsid w:val="00A5354E"/>
    <w:rsid w:val="00A5486A"/>
    <w:rsid w:val="00A557D6"/>
    <w:rsid w:val="00A55D86"/>
    <w:rsid w:val="00A57824"/>
    <w:rsid w:val="00A60D38"/>
    <w:rsid w:val="00A63A56"/>
    <w:rsid w:val="00A64EA5"/>
    <w:rsid w:val="00A719CE"/>
    <w:rsid w:val="00A77711"/>
    <w:rsid w:val="00A8031D"/>
    <w:rsid w:val="00A84FA9"/>
    <w:rsid w:val="00A86128"/>
    <w:rsid w:val="00A91273"/>
    <w:rsid w:val="00A91F22"/>
    <w:rsid w:val="00A923FF"/>
    <w:rsid w:val="00A96675"/>
    <w:rsid w:val="00A978A5"/>
    <w:rsid w:val="00A97C80"/>
    <w:rsid w:val="00AA0832"/>
    <w:rsid w:val="00AB13C8"/>
    <w:rsid w:val="00AB2970"/>
    <w:rsid w:val="00AB29C7"/>
    <w:rsid w:val="00AB2B9C"/>
    <w:rsid w:val="00AB3B11"/>
    <w:rsid w:val="00AB512D"/>
    <w:rsid w:val="00AB7822"/>
    <w:rsid w:val="00AC2BA8"/>
    <w:rsid w:val="00AC504F"/>
    <w:rsid w:val="00AC75FF"/>
    <w:rsid w:val="00AD6552"/>
    <w:rsid w:val="00AD6DC4"/>
    <w:rsid w:val="00AD73C9"/>
    <w:rsid w:val="00AD7CD1"/>
    <w:rsid w:val="00AE108B"/>
    <w:rsid w:val="00AE1C21"/>
    <w:rsid w:val="00AE2889"/>
    <w:rsid w:val="00AE294F"/>
    <w:rsid w:val="00AE6D5A"/>
    <w:rsid w:val="00AF0229"/>
    <w:rsid w:val="00AF2218"/>
    <w:rsid w:val="00AF47AF"/>
    <w:rsid w:val="00AF49D7"/>
    <w:rsid w:val="00AF5C9A"/>
    <w:rsid w:val="00AF681C"/>
    <w:rsid w:val="00AF7D55"/>
    <w:rsid w:val="00B004A6"/>
    <w:rsid w:val="00B1016F"/>
    <w:rsid w:val="00B12ED9"/>
    <w:rsid w:val="00B13238"/>
    <w:rsid w:val="00B164EB"/>
    <w:rsid w:val="00B17AB0"/>
    <w:rsid w:val="00B20E82"/>
    <w:rsid w:val="00B222D8"/>
    <w:rsid w:val="00B22C0A"/>
    <w:rsid w:val="00B23D04"/>
    <w:rsid w:val="00B3186B"/>
    <w:rsid w:val="00B32927"/>
    <w:rsid w:val="00B400F8"/>
    <w:rsid w:val="00B40CE9"/>
    <w:rsid w:val="00B42011"/>
    <w:rsid w:val="00B42A4E"/>
    <w:rsid w:val="00B476C1"/>
    <w:rsid w:val="00B47EB3"/>
    <w:rsid w:val="00B50131"/>
    <w:rsid w:val="00B50423"/>
    <w:rsid w:val="00B54417"/>
    <w:rsid w:val="00B57ADC"/>
    <w:rsid w:val="00B60260"/>
    <w:rsid w:val="00B61DA1"/>
    <w:rsid w:val="00B66562"/>
    <w:rsid w:val="00B70015"/>
    <w:rsid w:val="00B70CAC"/>
    <w:rsid w:val="00B74209"/>
    <w:rsid w:val="00B74BCB"/>
    <w:rsid w:val="00B77DE1"/>
    <w:rsid w:val="00B80013"/>
    <w:rsid w:val="00B85E33"/>
    <w:rsid w:val="00B9016B"/>
    <w:rsid w:val="00B90D0F"/>
    <w:rsid w:val="00B92A30"/>
    <w:rsid w:val="00B9380C"/>
    <w:rsid w:val="00B94DF3"/>
    <w:rsid w:val="00B9623F"/>
    <w:rsid w:val="00B96F97"/>
    <w:rsid w:val="00BA02F3"/>
    <w:rsid w:val="00BA152D"/>
    <w:rsid w:val="00BA1CBE"/>
    <w:rsid w:val="00BA436E"/>
    <w:rsid w:val="00BA52D2"/>
    <w:rsid w:val="00BB2543"/>
    <w:rsid w:val="00BB3BF1"/>
    <w:rsid w:val="00BB45AA"/>
    <w:rsid w:val="00BC1477"/>
    <w:rsid w:val="00BC2C6F"/>
    <w:rsid w:val="00BD3811"/>
    <w:rsid w:val="00BD720F"/>
    <w:rsid w:val="00BE3968"/>
    <w:rsid w:val="00BE49AC"/>
    <w:rsid w:val="00BE4D59"/>
    <w:rsid w:val="00BE5A94"/>
    <w:rsid w:val="00BE5E5C"/>
    <w:rsid w:val="00BE7191"/>
    <w:rsid w:val="00BF47C9"/>
    <w:rsid w:val="00BF5E10"/>
    <w:rsid w:val="00BF60C7"/>
    <w:rsid w:val="00C00C63"/>
    <w:rsid w:val="00C01AAA"/>
    <w:rsid w:val="00C02808"/>
    <w:rsid w:val="00C03C3D"/>
    <w:rsid w:val="00C0440C"/>
    <w:rsid w:val="00C04B94"/>
    <w:rsid w:val="00C06517"/>
    <w:rsid w:val="00C10889"/>
    <w:rsid w:val="00C1292E"/>
    <w:rsid w:val="00C14C37"/>
    <w:rsid w:val="00C1642D"/>
    <w:rsid w:val="00C164B2"/>
    <w:rsid w:val="00C17E69"/>
    <w:rsid w:val="00C3160C"/>
    <w:rsid w:val="00C3747D"/>
    <w:rsid w:val="00C37E96"/>
    <w:rsid w:val="00C40D78"/>
    <w:rsid w:val="00C431CB"/>
    <w:rsid w:val="00C4368F"/>
    <w:rsid w:val="00C445B0"/>
    <w:rsid w:val="00C4604E"/>
    <w:rsid w:val="00C50821"/>
    <w:rsid w:val="00C50862"/>
    <w:rsid w:val="00C51454"/>
    <w:rsid w:val="00C52F1B"/>
    <w:rsid w:val="00C54A75"/>
    <w:rsid w:val="00C54E6D"/>
    <w:rsid w:val="00C567DA"/>
    <w:rsid w:val="00C627D0"/>
    <w:rsid w:val="00C63E36"/>
    <w:rsid w:val="00C64078"/>
    <w:rsid w:val="00C647AE"/>
    <w:rsid w:val="00C64B10"/>
    <w:rsid w:val="00C64F30"/>
    <w:rsid w:val="00C701BD"/>
    <w:rsid w:val="00C710F0"/>
    <w:rsid w:val="00C71CBE"/>
    <w:rsid w:val="00C7251E"/>
    <w:rsid w:val="00C74E6C"/>
    <w:rsid w:val="00C81DDE"/>
    <w:rsid w:val="00C824BE"/>
    <w:rsid w:val="00C8341D"/>
    <w:rsid w:val="00C84233"/>
    <w:rsid w:val="00C84C34"/>
    <w:rsid w:val="00C86CDF"/>
    <w:rsid w:val="00C95641"/>
    <w:rsid w:val="00CA4FDE"/>
    <w:rsid w:val="00CA6143"/>
    <w:rsid w:val="00CA69FE"/>
    <w:rsid w:val="00CB0B1D"/>
    <w:rsid w:val="00CB18B5"/>
    <w:rsid w:val="00CB3D55"/>
    <w:rsid w:val="00CC0146"/>
    <w:rsid w:val="00CC13E1"/>
    <w:rsid w:val="00CC4F0A"/>
    <w:rsid w:val="00CC5765"/>
    <w:rsid w:val="00CD0074"/>
    <w:rsid w:val="00CD64B9"/>
    <w:rsid w:val="00CD6828"/>
    <w:rsid w:val="00CD698C"/>
    <w:rsid w:val="00CE040F"/>
    <w:rsid w:val="00CE0620"/>
    <w:rsid w:val="00CE5156"/>
    <w:rsid w:val="00CE5F58"/>
    <w:rsid w:val="00CE61F2"/>
    <w:rsid w:val="00CE7032"/>
    <w:rsid w:val="00CF3049"/>
    <w:rsid w:val="00CF3929"/>
    <w:rsid w:val="00CF4F20"/>
    <w:rsid w:val="00CF50B8"/>
    <w:rsid w:val="00CF7ABF"/>
    <w:rsid w:val="00D00CD0"/>
    <w:rsid w:val="00D0141C"/>
    <w:rsid w:val="00D015AA"/>
    <w:rsid w:val="00D01CCB"/>
    <w:rsid w:val="00D0240E"/>
    <w:rsid w:val="00D05027"/>
    <w:rsid w:val="00D07716"/>
    <w:rsid w:val="00D10756"/>
    <w:rsid w:val="00D10A34"/>
    <w:rsid w:val="00D121E9"/>
    <w:rsid w:val="00D16303"/>
    <w:rsid w:val="00D20EDD"/>
    <w:rsid w:val="00D24708"/>
    <w:rsid w:val="00D303BF"/>
    <w:rsid w:val="00D323E7"/>
    <w:rsid w:val="00D34ADC"/>
    <w:rsid w:val="00D35EC4"/>
    <w:rsid w:val="00D41A10"/>
    <w:rsid w:val="00D43412"/>
    <w:rsid w:val="00D47F08"/>
    <w:rsid w:val="00D504DC"/>
    <w:rsid w:val="00D517D4"/>
    <w:rsid w:val="00D55FE8"/>
    <w:rsid w:val="00D56B07"/>
    <w:rsid w:val="00D6236E"/>
    <w:rsid w:val="00D655C6"/>
    <w:rsid w:val="00D66B68"/>
    <w:rsid w:val="00D70332"/>
    <w:rsid w:val="00D75FB2"/>
    <w:rsid w:val="00D76487"/>
    <w:rsid w:val="00D81EEC"/>
    <w:rsid w:val="00D84572"/>
    <w:rsid w:val="00D85D04"/>
    <w:rsid w:val="00D90E13"/>
    <w:rsid w:val="00D91323"/>
    <w:rsid w:val="00D9185F"/>
    <w:rsid w:val="00D91884"/>
    <w:rsid w:val="00D92853"/>
    <w:rsid w:val="00D93DA7"/>
    <w:rsid w:val="00D944ED"/>
    <w:rsid w:val="00D94643"/>
    <w:rsid w:val="00DA00DD"/>
    <w:rsid w:val="00DA12BB"/>
    <w:rsid w:val="00DA2B8A"/>
    <w:rsid w:val="00DA2CCD"/>
    <w:rsid w:val="00DA47E1"/>
    <w:rsid w:val="00DA5803"/>
    <w:rsid w:val="00DA74FC"/>
    <w:rsid w:val="00DB1150"/>
    <w:rsid w:val="00DB2316"/>
    <w:rsid w:val="00DB2EF2"/>
    <w:rsid w:val="00DB3180"/>
    <w:rsid w:val="00DB4CFF"/>
    <w:rsid w:val="00DB4DB0"/>
    <w:rsid w:val="00DB5092"/>
    <w:rsid w:val="00DB58B6"/>
    <w:rsid w:val="00DC04CA"/>
    <w:rsid w:val="00DC1327"/>
    <w:rsid w:val="00DC5AC6"/>
    <w:rsid w:val="00DC5D2A"/>
    <w:rsid w:val="00DC74A9"/>
    <w:rsid w:val="00DC7846"/>
    <w:rsid w:val="00DD5930"/>
    <w:rsid w:val="00DD6F9F"/>
    <w:rsid w:val="00DE1D92"/>
    <w:rsid w:val="00DE28AE"/>
    <w:rsid w:val="00DE36FA"/>
    <w:rsid w:val="00DE4FF1"/>
    <w:rsid w:val="00DE7341"/>
    <w:rsid w:val="00DF05B3"/>
    <w:rsid w:val="00DF0748"/>
    <w:rsid w:val="00DF0CF2"/>
    <w:rsid w:val="00DF3502"/>
    <w:rsid w:val="00E04035"/>
    <w:rsid w:val="00E041CD"/>
    <w:rsid w:val="00E0450A"/>
    <w:rsid w:val="00E06C1C"/>
    <w:rsid w:val="00E077A7"/>
    <w:rsid w:val="00E11510"/>
    <w:rsid w:val="00E130A2"/>
    <w:rsid w:val="00E1417D"/>
    <w:rsid w:val="00E161AB"/>
    <w:rsid w:val="00E2093E"/>
    <w:rsid w:val="00E211F1"/>
    <w:rsid w:val="00E26D56"/>
    <w:rsid w:val="00E27530"/>
    <w:rsid w:val="00E278AD"/>
    <w:rsid w:val="00E30302"/>
    <w:rsid w:val="00E30C77"/>
    <w:rsid w:val="00E314A0"/>
    <w:rsid w:val="00E3199C"/>
    <w:rsid w:val="00E31A0E"/>
    <w:rsid w:val="00E366EE"/>
    <w:rsid w:val="00E369B7"/>
    <w:rsid w:val="00E36D82"/>
    <w:rsid w:val="00E37CEA"/>
    <w:rsid w:val="00E40419"/>
    <w:rsid w:val="00E40AC9"/>
    <w:rsid w:val="00E4227C"/>
    <w:rsid w:val="00E43855"/>
    <w:rsid w:val="00E438E5"/>
    <w:rsid w:val="00E46A5E"/>
    <w:rsid w:val="00E47483"/>
    <w:rsid w:val="00E4799E"/>
    <w:rsid w:val="00E52173"/>
    <w:rsid w:val="00E5366A"/>
    <w:rsid w:val="00E54FEB"/>
    <w:rsid w:val="00E56D43"/>
    <w:rsid w:val="00E63C37"/>
    <w:rsid w:val="00E654D4"/>
    <w:rsid w:val="00E65694"/>
    <w:rsid w:val="00E74963"/>
    <w:rsid w:val="00E756A5"/>
    <w:rsid w:val="00E75B5A"/>
    <w:rsid w:val="00E81658"/>
    <w:rsid w:val="00E81976"/>
    <w:rsid w:val="00E91931"/>
    <w:rsid w:val="00E91938"/>
    <w:rsid w:val="00E93A40"/>
    <w:rsid w:val="00E952D4"/>
    <w:rsid w:val="00E95A04"/>
    <w:rsid w:val="00EA053B"/>
    <w:rsid w:val="00EA4090"/>
    <w:rsid w:val="00EA43A3"/>
    <w:rsid w:val="00EA448A"/>
    <w:rsid w:val="00EA5BD0"/>
    <w:rsid w:val="00EA76A6"/>
    <w:rsid w:val="00EB19DB"/>
    <w:rsid w:val="00EB39C0"/>
    <w:rsid w:val="00EB59F2"/>
    <w:rsid w:val="00EB6C28"/>
    <w:rsid w:val="00EC0813"/>
    <w:rsid w:val="00EC1DCC"/>
    <w:rsid w:val="00EC2A62"/>
    <w:rsid w:val="00EC3431"/>
    <w:rsid w:val="00EC570E"/>
    <w:rsid w:val="00EC63BC"/>
    <w:rsid w:val="00EC6743"/>
    <w:rsid w:val="00EC682D"/>
    <w:rsid w:val="00EC7B94"/>
    <w:rsid w:val="00ED012E"/>
    <w:rsid w:val="00ED0533"/>
    <w:rsid w:val="00ED0C89"/>
    <w:rsid w:val="00ED52C4"/>
    <w:rsid w:val="00ED5ECF"/>
    <w:rsid w:val="00ED64D3"/>
    <w:rsid w:val="00ED6599"/>
    <w:rsid w:val="00EE0443"/>
    <w:rsid w:val="00EE3EAD"/>
    <w:rsid w:val="00EE4460"/>
    <w:rsid w:val="00EE5359"/>
    <w:rsid w:val="00EE68E5"/>
    <w:rsid w:val="00EF097E"/>
    <w:rsid w:val="00EF1497"/>
    <w:rsid w:val="00EF1A71"/>
    <w:rsid w:val="00EF1FDC"/>
    <w:rsid w:val="00EF2CFF"/>
    <w:rsid w:val="00EF3D77"/>
    <w:rsid w:val="00EF4BB5"/>
    <w:rsid w:val="00F048A7"/>
    <w:rsid w:val="00F07CF3"/>
    <w:rsid w:val="00F10E4A"/>
    <w:rsid w:val="00F135CF"/>
    <w:rsid w:val="00F203FB"/>
    <w:rsid w:val="00F2185D"/>
    <w:rsid w:val="00F25137"/>
    <w:rsid w:val="00F30E00"/>
    <w:rsid w:val="00F32172"/>
    <w:rsid w:val="00F35599"/>
    <w:rsid w:val="00F36F7F"/>
    <w:rsid w:val="00F37FCF"/>
    <w:rsid w:val="00F40E29"/>
    <w:rsid w:val="00F42D71"/>
    <w:rsid w:val="00F44D7D"/>
    <w:rsid w:val="00F44EA9"/>
    <w:rsid w:val="00F51A35"/>
    <w:rsid w:val="00F54218"/>
    <w:rsid w:val="00F559AC"/>
    <w:rsid w:val="00F55DEC"/>
    <w:rsid w:val="00F562F6"/>
    <w:rsid w:val="00F56455"/>
    <w:rsid w:val="00F62729"/>
    <w:rsid w:val="00F657DB"/>
    <w:rsid w:val="00F70F4D"/>
    <w:rsid w:val="00F72F09"/>
    <w:rsid w:val="00F77A11"/>
    <w:rsid w:val="00F812E1"/>
    <w:rsid w:val="00F824A5"/>
    <w:rsid w:val="00F82853"/>
    <w:rsid w:val="00F839C1"/>
    <w:rsid w:val="00F84A3D"/>
    <w:rsid w:val="00F85C4D"/>
    <w:rsid w:val="00F86500"/>
    <w:rsid w:val="00F87DA5"/>
    <w:rsid w:val="00F92F43"/>
    <w:rsid w:val="00F9478F"/>
    <w:rsid w:val="00F951AC"/>
    <w:rsid w:val="00F95FA4"/>
    <w:rsid w:val="00F96328"/>
    <w:rsid w:val="00F9730E"/>
    <w:rsid w:val="00FA03A1"/>
    <w:rsid w:val="00FA285C"/>
    <w:rsid w:val="00FA28B7"/>
    <w:rsid w:val="00FB0A22"/>
    <w:rsid w:val="00FB0A96"/>
    <w:rsid w:val="00FB0B3F"/>
    <w:rsid w:val="00FB32FD"/>
    <w:rsid w:val="00FB3C34"/>
    <w:rsid w:val="00FB6B6C"/>
    <w:rsid w:val="00FB7E5E"/>
    <w:rsid w:val="00FB7FBA"/>
    <w:rsid w:val="00FD015C"/>
    <w:rsid w:val="00FD3869"/>
    <w:rsid w:val="00FD5C06"/>
    <w:rsid w:val="00FE0A98"/>
    <w:rsid w:val="00FE0B53"/>
    <w:rsid w:val="00FE4947"/>
    <w:rsid w:val="00FE4A85"/>
    <w:rsid w:val="00FF0DF9"/>
    <w:rsid w:val="00FF2C6D"/>
    <w:rsid w:val="00FF4C28"/>
    <w:rsid w:val="00FF6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0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447D0"/>
    <w:pPr>
      <w:ind w:left="720"/>
      <w:contextualSpacing/>
    </w:pPr>
    <w:rPr>
      <w:szCs w:val="20"/>
    </w:rPr>
  </w:style>
  <w:style w:type="character" w:customStyle="1" w:styleId="FontStyle47">
    <w:name w:val="Font Style47"/>
    <w:basedOn w:val="a0"/>
    <w:uiPriority w:val="99"/>
    <w:rsid w:val="007F5F37"/>
    <w:rPr>
      <w:rFonts w:ascii="Times New Roman" w:hAnsi="Times New Roman" w:cs="Times New Roman"/>
      <w:sz w:val="26"/>
      <w:szCs w:val="26"/>
    </w:rPr>
  </w:style>
  <w:style w:type="paragraph" w:customStyle="1" w:styleId="text">
    <w:name w:val="text"/>
    <w:basedOn w:val="a"/>
    <w:rsid w:val="004F63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F6328"/>
  </w:style>
  <w:style w:type="paragraph" w:styleId="a5">
    <w:name w:val="header"/>
    <w:basedOn w:val="a"/>
    <w:link w:val="a6"/>
    <w:uiPriority w:val="99"/>
    <w:unhideWhenUsed/>
    <w:rsid w:val="001460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6009"/>
  </w:style>
  <w:style w:type="paragraph" w:styleId="a7">
    <w:name w:val="footer"/>
    <w:basedOn w:val="a"/>
    <w:link w:val="a8"/>
    <w:uiPriority w:val="99"/>
    <w:unhideWhenUsed/>
    <w:rsid w:val="0014600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6009"/>
  </w:style>
  <w:style w:type="paragraph" w:customStyle="1" w:styleId="s3">
    <w:name w:val="s_3"/>
    <w:basedOn w:val="a"/>
    <w:rsid w:val="000777A5"/>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rmal (Web)"/>
    <w:basedOn w:val="a"/>
    <w:uiPriority w:val="99"/>
    <w:semiHidden/>
    <w:unhideWhenUsed/>
    <w:rsid w:val="00326D3E"/>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semiHidden/>
    <w:unhideWhenUsed/>
    <w:rsid w:val="00326D3E"/>
    <w:rPr>
      <w:color w:val="0000FF"/>
      <w:u w:val="single"/>
    </w:rPr>
  </w:style>
  <w:style w:type="character" w:styleId="ab">
    <w:name w:val="Strong"/>
    <w:basedOn w:val="a0"/>
    <w:uiPriority w:val="22"/>
    <w:qFormat/>
    <w:rsid w:val="00326D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0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447D0"/>
    <w:pPr>
      <w:ind w:left="720"/>
      <w:contextualSpacing/>
    </w:pPr>
    <w:rPr>
      <w:szCs w:val="20"/>
    </w:rPr>
  </w:style>
  <w:style w:type="character" w:customStyle="1" w:styleId="FontStyle47">
    <w:name w:val="Font Style47"/>
    <w:basedOn w:val="a0"/>
    <w:uiPriority w:val="99"/>
    <w:rsid w:val="007F5F37"/>
    <w:rPr>
      <w:rFonts w:ascii="Times New Roman" w:hAnsi="Times New Roman" w:cs="Times New Roman"/>
      <w:sz w:val="26"/>
      <w:szCs w:val="26"/>
    </w:rPr>
  </w:style>
  <w:style w:type="paragraph" w:customStyle="1" w:styleId="text">
    <w:name w:val="text"/>
    <w:basedOn w:val="a"/>
    <w:rsid w:val="004F63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F6328"/>
  </w:style>
  <w:style w:type="paragraph" w:styleId="a5">
    <w:name w:val="header"/>
    <w:basedOn w:val="a"/>
    <w:link w:val="a6"/>
    <w:uiPriority w:val="99"/>
    <w:unhideWhenUsed/>
    <w:rsid w:val="001460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6009"/>
  </w:style>
  <w:style w:type="paragraph" w:styleId="a7">
    <w:name w:val="footer"/>
    <w:basedOn w:val="a"/>
    <w:link w:val="a8"/>
    <w:uiPriority w:val="99"/>
    <w:unhideWhenUsed/>
    <w:rsid w:val="0014600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6009"/>
  </w:style>
  <w:style w:type="paragraph" w:customStyle="1" w:styleId="s3">
    <w:name w:val="s_3"/>
    <w:basedOn w:val="a"/>
    <w:rsid w:val="000777A5"/>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rmal (Web)"/>
    <w:basedOn w:val="a"/>
    <w:uiPriority w:val="99"/>
    <w:semiHidden/>
    <w:unhideWhenUsed/>
    <w:rsid w:val="00326D3E"/>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semiHidden/>
    <w:unhideWhenUsed/>
    <w:rsid w:val="00326D3E"/>
    <w:rPr>
      <w:color w:val="0000FF"/>
      <w:u w:val="single"/>
    </w:rPr>
  </w:style>
  <w:style w:type="character" w:styleId="ab">
    <w:name w:val="Strong"/>
    <w:basedOn w:val="a0"/>
    <w:uiPriority w:val="22"/>
    <w:qFormat/>
    <w:rsid w:val="00326D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884271">
      <w:bodyDiv w:val="1"/>
      <w:marLeft w:val="0"/>
      <w:marRight w:val="0"/>
      <w:marTop w:val="0"/>
      <w:marBottom w:val="0"/>
      <w:divBdr>
        <w:top w:val="none" w:sz="0" w:space="0" w:color="auto"/>
        <w:left w:val="none" w:sz="0" w:space="0" w:color="auto"/>
        <w:bottom w:val="none" w:sz="0" w:space="0" w:color="auto"/>
        <w:right w:val="none" w:sz="0" w:space="0" w:color="auto"/>
      </w:divBdr>
      <w:divsChild>
        <w:div w:id="1123887447">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879664962">
              <w:marLeft w:val="0"/>
              <w:marRight w:val="0"/>
              <w:marTop w:val="0"/>
              <w:marBottom w:val="0"/>
              <w:divBdr>
                <w:top w:val="single" w:sz="6" w:space="8" w:color="auto"/>
                <w:left w:val="single" w:sz="6" w:space="8" w:color="auto"/>
                <w:bottom w:val="none" w:sz="0" w:space="0" w:color="auto"/>
                <w:right w:val="single" w:sz="6" w:space="8" w:color="auto"/>
              </w:divBdr>
              <w:divsChild>
                <w:div w:id="701398592">
                  <w:marLeft w:val="0"/>
                  <w:marRight w:val="0"/>
                  <w:marTop w:val="0"/>
                  <w:marBottom w:val="0"/>
                  <w:divBdr>
                    <w:top w:val="none" w:sz="0" w:space="0" w:color="auto"/>
                    <w:left w:val="none" w:sz="0" w:space="0" w:color="auto"/>
                    <w:bottom w:val="none" w:sz="0" w:space="0" w:color="auto"/>
                    <w:right w:val="none" w:sz="0" w:space="0" w:color="auto"/>
                  </w:divBdr>
                </w:div>
                <w:div w:id="349380928">
                  <w:marLeft w:val="0"/>
                  <w:marRight w:val="0"/>
                  <w:marTop w:val="0"/>
                  <w:marBottom w:val="0"/>
                  <w:divBdr>
                    <w:top w:val="none" w:sz="0" w:space="0" w:color="auto"/>
                    <w:left w:val="none" w:sz="0" w:space="0" w:color="auto"/>
                    <w:bottom w:val="none" w:sz="0" w:space="0" w:color="auto"/>
                    <w:right w:val="none" w:sz="0" w:space="0" w:color="auto"/>
                  </w:divBdr>
                  <w:divsChild>
                    <w:div w:id="368992233">
                      <w:marLeft w:val="0"/>
                      <w:marRight w:val="0"/>
                      <w:marTop w:val="0"/>
                      <w:marBottom w:val="0"/>
                      <w:divBdr>
                        <w:top w:val="none" w:sz="0" w:space="0" w:color="auto"/>
                        <w:left w:val="none" w:sz="0" w:space="0" w:color="auto"/>
                        <w:bottom w:val="none" w:sz="0" w:space="0" w:color="auto"/>
                        <w:right w:val="none" w:sz="0" w:space="0" w:color="auto"/>
                      </w:divBdr>
                    </w:div>
                  </w:divsChild>
                </w:div>
                <w:div w:id="42234029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71875593">
      <w:bodyDiv w:val="1"/>
      <w:marLeft w:val="0"/>
      <w:marRight w:val="0"/>
      <w:marTop w:val="0"/>
      <w:marBottom w:val="0"/>
      <w:divBdr>
        <w:top w:val="none" w:sz="0" w:space="0" w:color="auto"/>
        <w:left w:val="none" w:sz="0" w:space="0" w:color="auto"/>
        <w:bottom w:val="none" w:sz="0" w:space="0" w:color="auto"/>
        <w:right w:val="none" w:sz="0" w:space="0" w:color="auto"/>
      </w:divBdr>
      <w:divsChild>
        <w:div w:id="1514492965">
          <w:marLeft w:val="0"/>
          <w:marRight w:val="0"/>
          <w:marTop w:val="0"/>
          <w:marBottom w:val="0"/>
          <w:divBdr>
            <w:top w:val="none" w:sz="0" w:space="0" w:color="auto"/>
            <w:left w:val="none" w:sz="0" w:space="0" w:color="auto"/>
            <w:bottom w:val="none" w:sz="0" w:space="0" w:color="auto"/>
            <w:right w:val="none" w:sz="0" w:space="0" w:color="auto"/>
          </w:divBdr>
          <w:divsChild>
            <w:div w:id="201287154">
              <w:marLeft w:val="0"/>
              <w:marRight w:val="0"/>
              <w:marTop w:val="0"/>
              <w:marBottom w:val="0"/>
              <w:divBdr>
                <w:top w:val="none" w:sz="0" w:space="0" w:color="auto"/>
                <w:left w:val="none" w:sz="0" w:space="0" w:color="auto"/>
                <w:bottom w:val="none" w:sz="0" w:space="0" w:color="auto"/>
                <w:right w:val="none" w:sz="0" w:space="0" w:color="auto"/>
              </w:divBdr>
              <w:divsChild>
                <w:div w:id="1134715088">
                  <w:marLeft w:val="0"/>
                  <w:marRight w:val="0"/>
                  <w:marTop w:val="0"/>
                  <w:marBottom w:val="0"/>
                  <w:divBdr>
                    <w:top w:val="none" w:sz="0" w:space="0" w:color="auto"/>
                    <w:left w:val="none" w:sz="0" w:space="0" w:color="auto"/>
                    <w:bottom w:val="none" w:sz="0" w:space="0" w:color="auto"/>
                    <w:right w:val="none" w:sz="0" w:space="0" w:color="auto"/>
                  </w:divBdr>
                </w:div>
                <w:div w:id="1108769104">
                  <w:marLeft w:val="0"/>
                  <w:marRight w:val="0"/>
                  <w:marTop w:val="0"/>
                  <w:marBottom w:val="0"/>
                  <w:divBdr>
                    <w:top w:val="none" w:sz="0" w:space="0" w:color="auto"/>
                    <w:left w:val="none" w:sz="0" w:space="0" w:color="auto"/>
                    <w:bottom w:val="none" w:sz="0" w:space="0" w:color="auto"/>
                    <w:right w:val="none" w:sz="0" w:space="0" w:color="auto"/>
                  </w:divBdr>
                </w:div>
              </w:divsChild>
            </w:div>
            <w:div w:id="535653586">
              <w:marLeft w:val="0"/>
              <w:marRight w:val="0"/>
              <w:marTop w:val="0"/>
              <w:marBottom w:val="0"/>
              <w:divBdr>
                <w:top w:val="none" w:sz="0" w:space="0" w:color="auto"/>
                <w:left w:val="none" w:sz="0" w:space="0" w:color="auto"/>
                <w:bottom w:val="none" w:sz="0" w:space="0" w:color="auto"/>
                <w:right w:val="none" w:sz="0" w:space="0" w:color="auto"/>
              </w:divBdr>
            </w:div>
            <w:div w:id="1711298071">
              <w:marLeft w:val="0"/>
              <w:marRight w:val="0"/>
              <w:marTop w:val="0"/>
              <w:marBottom w:val="0"/>
              <w:divBdr>
                <w:top w:val="none" w:sz="0" w:space="0" w:color="auto"/>
                <w:left w:val="none" w:sz="0" w:space="0" w:color="auto"/>
                <w:bottom w:val="none" w:sz="0" w:space="0" w:color="auto"/>
                <w:right w:val="none" w:sz="0" w:space="0" w:color="auto"/>
              </w:divBdr>
            </w:div>
            <w:div w:id="1080178203">
              <w:marLeft w:val="0"/>
              <w:marRight w:val="0"/>
              <w:marTop w:val="0"/>
              <w:marBottom w:val="0"/>
              <w:divBdr>
                <w:top w:val="none" w:sz="0" w:space="0" w:color="auto"/>
                <w:left w:val="none" w:sz="0" w:space="0" w:color="auto"/>
                <w:bottom w:val="none" w:sz="0" w:space="0" w:color="auto"/>
                <w:right w:val="none" w:sz="0" w:space="0" w:color="auto"/>
              </w:divBdr>
            </w:div>
            <w:div w:id="805898129">
              <w:marLeft w:val="0"/>
              <w:marRight w:val="0"/>
              <w:marTop w:val="0"/>
              <w:marBottom w:val="0"/>
              <w:divBdr>
                <w:top w:val="none" w:sz="0" w:space="0" w:color="auto"/>
                <w:left w:val="none" w:sz="0" w:space="0" w:color="auto"/>
                <w:bottom w:val="none" w:sz="0" w:space="0" w:color="auto"/>
                <w:right w:val="none" w:sz="0" w:space="0" w:color="auto"/>
              </w:divBdr>
              <w:divsChild>
                <w:div w:id="1021198054">
                  <w:marLeft w:val="0"/>
                  <w:marRight w:val="0"/>
                  <w:marTop w:val="0"/>
                  <w:marBottom w:val="0"/>
                  <w:divBdr>
                    <w:top w:val="none" w:sz="0" w:space="0" w:color="auto"/>
                    <w:left w:val="none" w:sz="0" w:space="0" w:color="auto"/>
                    <w:bottom w:val="none" w:sz="0" w:space="0" w:color="auto"/>
                    <w:right w:val="none" w:sz="0" w:space="0" w:color="auto"/>
                  </w:divBdr>
                </w:div>
                <w:div w:id="1497841332">
                  <w:marLeft w:val="0"/>
                  <w:marRight w:val="0"/>
                  <w:marTop w:val="0"/>
                  <w:marBottom w:val="0"/>
                  <w:divBdr>
                    <w:top w:val="none" w:sz="0" w:space="0" w:color="auto"/>
                    <w:left w:val="none" w:sz="0" w:space="0" w:color="auto"/>
                    <w:bottom w:val="none" w:sz="0" w:space="0" w:color="auto"/>
                    <w:right w:val="none" w:sz="0" w:space="0" w:color="auto"/>
                  </w:divBdr>
                  <w:divsChild>
                    <w:div w:id="580413503">
                      <w:marLeft w:val="0"/>
                      <w:marRight w:val="0"/>
                      <w:marTop w:val="0"/>
                      <w:marBottom w:val="0"/>
                      <w:divBdr>
                        <w:top w:val="none" w:sz="0" w:space="0" w:color="auto"/>
                        <w:left w:val="none" w:sz="0" w:space="0" w:color="auto"/>
                        <w:bottom w:val="none" w:sz="0" w:space="0" w:color="auto"/>
                        <w:right w:val="none" w:sz="0" w:space="0" w:color="auto"/>
                      </w:divBdr>
                    </w:div>
                  </w:divsChild>
                </w:div>
                <w:div w:id="750926154">
                  <w:marLeft w:val="0"/>
                  <w:marRight w:val="0"/>
                  <w:marTop w:val="0"/>
                  <w:marBottom w:val="0"/>
                  <w:divBdr>
                    <w:top w:val="none" w:sz="0" w:space="0" w:color="auto"/>
                    <w:left w:val="none" w:sz="0" w:space="0" w:color="auto"/>
                    <w:bottom w:val="none" w:sz="0" w:space="0" w:color="auto"/>
                    <w:right w:val="none" w:sz="0" w:space="0" w:color="auto"/>
                  </w:divBdr>
                  <w:divsChild>
                    <w:div w:id="362486573">
                      <w:marLeft w:val="0"/>
                      <w:marRight w:val="0"/>
                      <w:marTop w:val="0"/>
                      <w:marBottom w:val="0"/>
                      <w:divBdr>
                        <w:top w:val="none" w:sz="0" w:space="0" w:color="auto"/>
                        <w:left w:val="none" w:sz="0" w:space="0" w:color="auto"/>
                        <w:bottom w:val="none" w:sz="0" w:space="0" w:color="auto"/>
                        <w:right w:val="none" w:sz="0" w:space="0" w:color="auto"/>
                      </w:divBdr>
                    </w:div>
                  </w:divsChild>
                </w:div>
                <w:div w:id="964119625">
                  <w:marLeft w:val="0"/>
                  <w:marRight w:val="0"/>
                  <w:marTop w:val="0"/>
                  <w:marBottom w:val="0"/>
                  <w:divBdr>
                    <w:top w:val="none" w:sz="0" w:space="0" w:color="auto"/>
                    <w:left w:val="none" w:sz="0" w:space="0" w:color="auto"/>
                    <w:bottom w:val="none" w:sz="0" w:space="0" w:color="auto"/>
                    <w:right w:val="none" w:sz="0" w:space="0" w:color="auto"/>
                  </w:divBdr>
                  <w:divsChild>
                    <w:div w:id="160977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93216">
              <w:marLeft w:val="0"/>
              <w:marRight w:val="0"/>
              <w:marTop w:val="0"/>
              <w:marBottom w:val="0"/>
              <w:divBdr>
                <w:top w:val="none" w:sz="0" w:space="0" w:color="auto"/>
                <w:left w:val="none" w:sz="0" w:space="0" w:color="auto"/>
                <w:bottom w:val="none" w:sz="0" w:space="0" w:color="auto"/>
                <w:right w:val="none" w:sz="0" w:space="0" w:color="auto"/>
              </w:divBdr>
              <w:divsChild>
                <w:div w:id="1088844981">
                  <w:marLeft w:val="0"/>
                  <w:marRight w:val="0"/>
                  <w:marTop w:val="0"/>
                  <w:marBottom w:val="0"/>
                  <w:divBdr>
                    <w:top w:val="none" w:sz="0" w:space="0" w:color="auto"/>
                    <w:left w:val="none" w:sz="0" w:space="0" w:color="auto"/>
                    <w:bottom w:val="none" w:sz="0" w:space="0" w:color="auto"/>
                    <w:right w:val="none" w:sz="0" w:space="0" w:color="auto"/>
                  </w:divBdr>
                </w:div>
                <w:div w:id="1985238814">
                  <w:marLeft w:val="0"/>
                  <w:marRight w:val="0"/>
                  <w:marTop w:val="0"/>
                  <w:marBottom w:val="0"/>
                  <w:divBdr>
                    <w:top w:val="none" w:sz="0" w:space="0" w:color="auto"/>
                    <w:left w:val="none" w:sz="0" w:space="0" w:color="auto"/>
                    <w:bottom w:val="none" w:sz="0" w:space="0" w:color="auto"/>
                    <w:right w:val="none" w:sz="0" w:space="0" w:color="auto"/>
                  </w:divBdr>
                </w:div>
                <w:div w:id="1097407082">
                  <w:marLeft w:val="0"/>
                  <w:marRight w:val="0"/>
                  <w:marTop w:val="0"/>
                  <w:marBottom w:val="0"/>
                  <w:divBdr>
                    <w:top w:val="none" w:sz="0" w:space="0" w:color="auto"/>
                    <w:left w:val="none" w:sz="0" w:space="0" w:color="auto"/>
                    <w:bottom w:val="none" w:sz="0" w:space="0" w:color="auto"/>
                    <w:right w:val="none" w:sz="0" w:space="0" w:color="auto"/>
                  </w:divBdr>
                </w:div>
                <w:div w:id="1529415975">
                  <w:marLeft w:val="0"/>
                  <w:marRight w:val="0"/>
                  <w:marTop w:val="0"/>
                  <w:marBottom w:val="0"/>
                  <w:divBdr>
                    <w:top w:val="none" w:sz="0" w:space="0" w:color="auto"/>
                    <w:left w:val="none" w:sz="0" w:space="0" w:color="auto"/>
                    <w:bottom w:val="none" w:sz="0" w:space="0" w:color="auto"/>
                    <w:right w:val="none" w:sz="0" w:space="0" w:color="auto"/>
                  </w:divBdr>
                </w:div>
              </w:divsChild>
            </w:div>
            <w:div w:id="488522953">
              <w:marLeft w:val="0"/>
              <w:marRight w:val="0"/>
              <w:marTop w:val="0"/>
              <w:marBottom w:val="0"/>
              <w:divBdr>
                <w:top w:val="none" w:sz="0" w:space="0" w:color="auto"/>
                <w:left w:val="none" w:sz="0" w:space="0" w:color="auto"/>
                <w:bottom w:val="none" w:sz="0" w:space="0" w:color="auto"/>
                <w:right w:val="none" w:sz="0" w:space="0" w:color="auto"/>
              </w:divBdr>
              <w:divsChild>
                <w:div w:id="796684744">
                  <w:marLeft w:val="0"/>
                  <w:marRight w:val="0"/>
                  <w:marTop w:val="0"/>
                  <w:marBottom w:val="0"/>
                  <w:divBdr>
                    <w:top w:val="none" w:sz="0" w:space="0" w:color="auto"/>
                    <w:left w:val="none" w:sz="0" w:space="0" w:color="auto"/>
                    <w:bottom w:val="none" w:sz="0" w:space="0" w:color="auto"/>
                    <w:right w:val="none" w:sz="0" w:space="0" w:color="auto"/>
                  </w:divBdr>
                </w:div>
                <w:div w:id="666372826">
                  <w:marLeft w:val="0"/>
                  <w:marRight w:val="0"/>
                  <w:marTop w:val="0"/>
                  <w:marBottom w:val="0"/>
                  <w:divBdr>
                    <w:top w:val="none" w:sz="0" w:space="0" w:color="auto"/>
                    <w:left w:val="none" w:sz="0" w:space="0" w:color="auto"/>
                    <w:bottom w:val="none" w:sz="0" w:space="0" w:color="auto"/>
                    <w:right w:val="none" w:sz="0" w:space="0" w:color="auto"/>
                  </w:divBdr>
                </w:div>
                <w:div w:id="1558396943">
                  <w:marLeft w:val="0"/>
                  <w:marRight w:val="0"/>
                  <w:marTop w:val="0"/>
                  <w:marBottom w:val="0"/>
                  <w:divBdr>
                    <w:top w:val="none" w:sz="0" w:space="0" w:color="auto"/>
                    <w:left w:val="none" w:sz="0" w:space="0" w:color="auto"/>
                    <w:bottom w:val="none" w:sz="0" w:space="0" w:color="auto"/>
                    <w:right w:val="none" w:sz="0" w:space="0" w:color="auto"/>
                  </w:divBdr>
                </w:div>
              </w:divsChild>
            </w:div>
            <w:div w:id="1877964488">
              <w:marLeft w:val="0"/>
              <w:marRight w:val="0"/>
              <w:marTop w:val="0"/>
              <w:marBottom w:val="0"/>
              <w:divBdr>
                <w:top w:val="none" w:sz="0" w:space="0" w:color="auto"/>
                <w:left w:val="none" w:sz="0" w:space="0" w:color="auto"/>
                <w:bottom w:val="none" w:sz="0" w:space="0" w:color="auto"/>
                <w:right w:val="none" w:sz="0" w:space="0" w:color="auto"/>
              </w:divBdr>
            </w:div>
            <w:div w:id="1368334392">
              <w:marLeft w:val="0"/>
              <w:marRight w:val="0"/>
              <w:marTop w:val="0"/>
              <w:marBottom w:val="0"/>
              <w:divBdr>
                <w:top w:val="none" w:sz="0" w:space="0" w:color="auto"/>
                <w:left w:val="none" w:sz="0" w:space="0" w:color="auto"/>
                <w:bottom w:val="none" w:sz="0" w:space="0" w:color="auto"/>
                <w:right w:val="none" w:sz="0" w:space="0" w:color="auto"/>
              </w:divBdr>
              <w:divsChild>
                <w:div w:id="354042156">
                  <w:marLeft w:val="0"/>
                  <w:marRight w:val="0"/>
                  <w:marTop w:val="0"/>
                  <w:marBottom w:val="0"/>
                  <w:divBdr>
                    <w:top w:val="none" w:sz="0" w:space="0" w:color="auto"/>
                    <w:left w:val="none" w:sz="0" w:space="0" w:color="auto"/>
                    <w:bottom w:val="none" w:sz="0" w:space="0" w:color="auto"/>
                    <w:right w:val="none" w:sz="0" w:space="0" w:color="auto"/>
                  </w:divBdr>
                </w:div>
                <w:div w:id="1146125761">
                  <w:marLeft w:val="0"/>
                  <w:marRight w:val="0"/>
                  <w:marTop w:val="0"/>
                  <w:marBottom w:val="0"/>
                  <w:divBdr>
                    <w:top w:val="none" w:sz="0" w:space="0" w:color="auto"/>
                    <w:left w:val="none" w:sz="0" w:space="0" w:color="auto"/>
                    <w:bottom w:val="none" w:sz="0" w:space="0" w:color="auto"/>
                    <w:right w:val="none" w:sz="0" w:space="0" w:color="auto"/>
                  </w:divBdr>
                </w:div>
                <w:div w:id="356202936">
                  <w:marLeft w:val="0"/>
                  <w:marRight w:val="0"/>
                  <w:marTop w:val="0"/>
                  <w:marBottom w:val="0"/>
                  <w:divBdr>
                    <w:top w:val="none" w:sz="0" w:space="0" w:color="auto"/>
                    <w:left w:val="none" w:sz="0" w:space="0" w:color="auto"/>
                    <w:bottom w:val="none" w:sz="0" w:space="0" w:color="auto"/>
                    <w:right w:val="none" w:sz="0" w:space="0" w:color="auto"/>
                  </w:divBdr>
                </w:div>
              </w:divsChild>
            </w:div>
            <w:div w:id="1907564721">
              <w:marLeft w:val="0"/>
              <w:marRight w:val="0"/>
              <w:marTop w:val="0"/>
              <w:marBottom w:val="0"/>
              <w:divBdr>
                <w:top w:val="none" w:sz="0" w:space="0" w:color="auto"/>
                <w:left w:val="none" w:sz="0" w:space="0" w:color="auto"/>
                <w:bottom w:val="none" w:sz="0" w:space="0" w:color="auto"/>
                <w:right w:val="none" w:sz="0" w:space="0" w:color="auto"/>
              </w:divBdr>
              <w:divsChild>
                <w:div w:id="562521272">
                  <w:marLeft w:val="0"/>
                  <w:marRight w:val="0"/>
                  <w:marTop w:val="0"/>
                  <w:marBottom w:val="0"/>
                  <w:divBdr>
                    <w:top w:val="none" w:sz="0" w:space="0" w:color="auto"/>
                    <w:left w:val="none" w:sz="0" w:space="0" w:color="auto"/>
                    <w:bottom w:val="none" w:sz="0" w:space="0" w:color="auto"/>
                    <w:right w:val="none" w:sz="0" w:space="0" w:color="auto"/>
                  </w:divBdr>
                </w:div>
                <w:div w:id="386681565">
                  <w:marLeft w:val="0"/>
                  <w:marRight w:val="0"/>
                  <w:marTop w:val="0"/>
                  <w:marBottom w:val="0"/>
                  <w:divBdr>
                    <w:top w:val="none" w:sz="0" w:space="0" w:color="auto"/>
                    <w:left w:val="none" w:sz="0" w:space="0" w:color="auto"/>
                    <w:bottom w:val="none" w:sz="0" w:space="0" w:color="auto"/>
                    <w:right w:val="none" w:sz="0" w:space="0" w:color="auto"/>
                  </w:divBdr>
                </w:div>
                <w:div w:id="357511832">
                  <w:marLeft w:val="0"/>
                  <w:marRight w:val="0"/>
                  <w:marTop w:val="0"/>
                  <w:marBottom w:val="0"/>
                  <w:divBdr>
                    <w:top w:val="none" w:sz="0" w:space="0" w:color="auto"/>
                    <w:left w:val="none" w:sz="0" w:space="0" w:color="auto"/>
                    <w:bottom w:val="none" w:sz="0" w:space="0" w:color="auto"/>
                    <w:right w:val="none" w:sz="0" w:space="0" w:color="auto"/>
                  </w:divBdr>
                </w:div>
                <w:div w:id="216094202">
                  <w:marLeft w:val="0"/>
                  <w:marRight w:val="0"/>
                  <w:marTop w:val="0"/>
                  <w:marBottom w:val="0"/>
                  <w:divBdr>
                    <w:top w:val="none" w:sz="0" w:space="0" w:color="auto"/>
                    <w:left w:val="none" w:sz="0" w:space="0" w:color="auto"/>
                    <w:bottom w:val="none" w:sz="0" w:space="0" w:color="auto"/>
                    <w:right w:val="none" w:sz="0" w:space="0" w:color="auto"/>
                  </w:divBdr>
                </w:div>
              </w:divsChild>
            </w:div>
            <w:div w:id="876701876">
              <w:marLeft w:val="0"/>
              <w:marRight w:val="0"/>
              <w:marTop w:val="0"/>
              <w:marBottom w:val="0"/>
              <w:divBdr>
                <w:top w:val="none" w:sz="0" w:space="0" w:color="auto"/>
                <w:left w:val="none" w:sz="0" w:space="0" w:color="auto"/>
                <w:bottom w:val="none" w:sz="0" w:space="0" w:color="auto"/>
                <w:right w:val="none" w:sz="0" w:space="0" w:color="auto"/>
              </w:divBdr>
              <w:divsChild>
                <w:div w:id="996147455">
                  <w:marLeft w:val="0"/>
                  <w:marRight w:val="0"/>
                  <w:marTop w:val="0"/>
                  <w:marBottom w:val="0"/>
                  <w:divBdr>
                    <w:top w:val="none" w:sz="0" w:space="0" w:color="auto"/>
                    <w:left w:val="none" w:sz="0" w:space="0" w:color="auto"/>
                    <w:bottom w:val="none" w:sz="0" w:space="0" w:color="auto"/>
                    <w:right w:val="none" w:sz="0" w:space="0" w:color="auto"/>
                  </w:divBdr>
                </w:div>
              </w:divsChild>
            </w:div>
            <w:div w:id="1876649838">
              <w:marLeft w:val="0"/>
              <w:marRight w:val="0"/>
              <w:marTop w:val="0"/>
              <w:marBottom w:val="0"/>
              <w:divBdr>
                <w:top w:val="none" w:sz="0" w:space="0" w:color="auto"/>
                <w:left w:val="none" w:sz="0" w:space="0" w:color="auto"/>
                <w:bottom w:val="none" w:sz="0" w:space="0" w:color="auto"/>
                <w:right w:val="none" w:sz="0" w:space="0" w:color="auto"/>
              </w:divBdr>
            </w:div>
            <w:div w:id="154229035">
              <w:marLeft w:val="0"/>
              <w:marRight w:val="0"/>
              <w:marTop w:val="0"/>
              <w:marBottom w:val="0"/>
              <w:divBdr>
                <w:top w:val="none" w:sz="0" w:space="0" w:color="auto"/>
                <w:left w:val="none" w:sz="0" w:space="0" w:color="auto"/>
                <w:bottom w:val="none" w:sz="0" w:space="0" w:color="auto"/>
                <w:right w:val="none" w:sz="0" w:space="0" w:color="auto"/>
              </w:divBdr>
            </w:div>
            <w:div w:id="477190719">
              <w:marLeft w:val="0"/>
              <w:marRight w:val="0"/>
              <w:marTop w:val="0"/>
              <w:marBottom w:val="0"/>
              <w:divBdr>
                <w:top w:val="none" w:sz="0" w:space="0" w:color="auto"/>
                <w:left w:val="none" w:sz="0" w:space="0" w:color="auto"/>
                <w:bottom w:val="none" w:sz="0" w:space="0" w:color="auto"/>
                <w:right w:val="none" w:sz="0" w:space="0" w:color="auto"/>
              </w:divBdr>
              <w:divsChild>
                <w:div w:id="1789544809">
                  <w:marLeft w:val="0"/>
                  <w:marRight w:val="0"/>
                  <w:marTop w:val="0"/>
                  <w:marBottom w:val="0"/>
                  <w:divBdr>
                    <w:top w:val="none" w:sz="0" w:space="0" w:color="auto"/>
                    <w:left w:val="none" w:sz="0" w:space="0" w:color="auto"/>
                    <w:bottom w:val="none" w:sz="0" w:space="0" w:color="auto"/>
                    <w:right w:val="none" w:sz="0" w:space="0" w:color="auto"/>
                  </w:divBdr>
                </w:div>
                <w:div w:id="1768769895">
                  <w:marLeft w:val="0"/>
                  <w:marRight w:val="0"/>
                  <w:marTop w:val="0"/>
                  <w:marBottom w:val="0"/>
                  <w:divBdr>
                    <w:top w:val="none" w:sz="0" w:space="0" w:color="auto"/>
                    <w:left w:val="none" w:sz="0" w:space="0" w:color="auto"/>
                    <w:bottom w:val="none" w:sz="0" w:space="0" w:color="auto"/>
                    <w:right w:val="none" w:sz="0" w:space="0" w:color="auto"/>
                  </w:divBdr>
                </w:div>
              </w:divsChild>
            </w:div>
            <w:div w:id="433131300">
              <w:marLeft w:val="0"/>
              <w:marRight w:val="0"/>
              <w:marTop w:val="0"/>
              <w:marBottom w:val="0"/>
              <w:divBdr>
                <w:top w:val="none" w:sz="0" w:space="0" w:color="auto"/>
                <w:left w:val="none" w:sz="0" w:space="0" w:color="auto"/>
                <w:bottom w:val="none" w:sz="0" w:space="0" w:color="auto"/>
                <w:right w:val="none" w:sz="0" w:space="0" w:color="auto"/>
              </w:divBdr>
              <w:divsChild>
                <w:div w:id="850069036">
                  <w:marLeft w:val="0"/>
                  <w:marRight w:val="0"/>
                  <w:marTop w:val="0"/>
                  <w:marBottom w:val="0"/>
                  <w:divBdr>
                    <w:top w:val="none" w:sz="0" w:space="0" w:color="auto"/>
                    <w:left w:val="none" w:sz="0" w:space="0" w:color="auto"/>
                    <w:bottom w:val="none" w:sz="0" w:space="0" w:color="auto"/>
                    <w:right w:val="none" w:sz="0" w:space="0" w:color="auto"/>
                  </w:divBdr>
                </w:div>
                <w:div w:id="401294728">
                  <w:marLeft w:val="0"/>
                  <w:marRight w:val="0"/>
                  <w:marTop w:val="0"/>
                  <w:marBottom w:val="0"/>
                  <w:divBdr>
                    <w:top w:val="none" w:sz="0" w:space="0" w:color="auto"/>
                    <w:left w:val="none" w:sz="0" w:space="0" w:color="auto"/>
                    <w:bottom w:val="none" w:sz="0" w:space="0" w:color="auto"/>
                    <w:right w:val="none" w:sz="0" w:space="0" w:color="auto"/>
                  </w:divBdr>
                  <w:divsChild>
                    <w:div w:id="1064644212">
                      <w:marLeft w:val="0"/>
                      <w:marRight w:val="0"/>
                      <w:marTop w:val="0"/>
                      <w:marBottom w:val="0"/>
                      <w:divBdr>
                        <w:top w:val="none" w:sz="0" w:space="0" w:color="auto"/>
                        <w:left w:val="none" w:sz="0" w:space="0" w:color="auto"/>
                        <w:bottom w:val="none" w:sz="0" w:space="0" w:color="auto"/>
                        <w:right w:val="none" w:sz="0" w:space="0" w:color="auto"/>
                      </w:divBdr>
                    </w:div>
                    <w:div w:id="680932975">
                      <w:marLeft w:val="0"/>
                      <w:marRight w:val="0"/>
                      <w:marTop w:val="0"/>
                      <w:marBottom w:val="0"/>
                      <w:divBdr>
                        <w:top w:val="none" w:sz="0" w:space="0" w:color="auto"/>
                        <w:left w:val="none" w:sz="0" w:space="0" w:color="auto"/>
                        <w:bottom w:val="none" w:sz="0" w:space="0" w:color="auto"/>
                        <w:right w:val="none" w:sz="0" w:space="0" w:color="auto"/>
                      </w:divBdr>
                    </w:div>
                    <w:div w:id="1256475605">
                      <w:marLeft w:val="0"/>
                      <w:marRight w:val="0"/>
                      <w:marTop w:val="0"/>
                      <w:marBottom w:val="0"/>
                      <w:divBdr>
                        <w:top w:val="none" w:sz="0" w:space="0" w:color="auto"/>
                        <w:left w:val="none" w:sz="0" w:space="0" w:color="auto"/>
                        <w:bottom w:val="none" w:sz="0" w:space="0" w:color="auto"/>
                        <w:right w:val="none" w:sz="0" w:space="0" w:color="auto"/>
                      </w:divBdr>
                    </w:div>
                    <w:div w:id="1451511151">
                      <w:marLeft w:val="0"/>
                      <w:marRight w:val="0"/>
                      <w:marTop w:val="0"/>
                      <w:marBottom w:val="0"/>
                      <w:divBdr>
                        <w:top w:val="none" w:sz="0" w:space="0" w:color="auto"/>
                        <w:left w:val="none" w:sz="0" w:space="0" w:color="auto"/>
                        <w:bottom w:val="none" w:sz="0" w:space="0" w:color="auto"/>
                        <w:right w:val="none" w:sz="0" w:space="0" w:color="auto"/>
                      </w:divBdr>
                    </w:div>
                    <w:div w:id="661546509">
                      <w:marLeft w:val="0"/>
                      <w:marRight w:val="0"/>
                      <w:marTop w:val="0"/>
                      <w:marBottom w:val="0"/>
                      <w:divBdr>
                        <w:top w:val="none" w:sz="0" w:space="0" w:color="auto"/>
                        <w:left w:val="none" w:sz="0" w:space="0" w:color="auto"/>
                        <w:bottom w:val="none" w:sz="0" w:space="0" w:color="auto"/>
                        <w:right w:val="none" w:sz="0" w:space="0" w:color="auto"/>
                      </w:divBdr>
                    </w:div>
                  </w:divsChild>
                </w:div>
                <w:div w:id="1325013468">
                  <w:marLeft w:val="0"/>
                  <w:marRight w:val="0"/>
                  <w:marTop w:val="0"/>
                  <w:marBottom w:val="0"/>
                  <w:divBdr>
                    <w:top w:val="none" w:sz="0" w:space="0" w:color="auto"/>
                    <w:left w:val="none" w:sz="0" w:space="0" w:color="auto"/>
                    <w:bottom w:val="none" w:sz="0" w:space="0" w:color="auto"/>
                    <w:right w:val="none" w:sz="0" w:space="0" w:color="auto"/>
                  </w:divBdr>
                  <w:divsChild>
                    <w:div w:id="1102185558">
                      <w:marLeft w:val="0"/>
                      <w:marRight w:val="0"/>
                      <w:marTop w:val="0"/>
                      <w:marBottom w:val="0"/>
                      <w:divBdr>
                        <w:top w:val="none" w:sz="0" w:space="0" w:color="auto"/>
                        <w:left w:val="none" w:sz="0" w:space="0" w:color="auto"/>
                        <w:bottom w:val="none" w:sz="0" w:space="0" w:color="auto"/>
                        <w:right w:val="none" w:sz="0" w:space="0" w:color="auto"/>
                      </w:divBdr>
                      <w:divsChild>
                        <w:div w:id="280839985">
                          <w:marLeft w:val="0"/>
                          <w:marRight w:val="0"/>
                          <w:marTop w:val="0"/>
                          <w:marBottom w:val="0"/>
                          <w:divBdr>
                            <w:top w:val="none" w:sz="0" w:space="0" w:color="auto"/>
                            <w:left w:val="none" w:sz="0" w:space="0" w:color="auto"/>
                            <w:bottom w:val="none" w:sz="0" w:space="0" w:color="auto"/>
                            <w:right w:val="none" w:sz="0" w:space="0" w:color="auto"/>
                          </w:divBdr>
                        </w:div>
                      </w:divsChild>
                    </w:div>
                    <w:div w:id="1473981897">
                      <w:marLeft w:val="0"/>
                      <w:marRight w:val="0"/>
                      <w:marTop w:val="0"/>
                      <w:marBottom w:val="0"/>
                      <w:divBdr>
                        <w:top w:val="none" w:sz="0" w:space="0" w:color="auto"/>
                        <w:left w:val="none" w:sz="0" w:space="0" w:color="auto"/>
                        <w:bottom w:val="none" w:sz="0" w:space="0" w:color="auto"/>
                        <w:right w:val="none" w:sz="0" w:space="0" w:color="auto"/>
                      </w:divBdr>
                    </w:div>
                    <w:div w:id="97678413">
                      <w:marLeft w:val="0"/>
                      <w:marRight w:val="0"/>
                      <w:marTop w:val="0"/>
                      <w:marBottom w:val="0"/>
                      <w:divBdr>
                        <w:top w:val="none" w:sz="0" w:space="0" w:color="auto"/>
                        <w:left w:val="none" w:sz="0" w:space="0" w:color="auto"/>
                        <w:bottom w:val="none" w:sz="0" w:space="0" w:color="auto"/>
                        <w:right w:val="none" w:sz="0" w:space="0" w:color="auto"/>
                      </w:divBdr>
                      <w:divsChild>
                        <w:div w:id="11503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139429">
                  <w:marLeft w:val="0"/>
                  <w:marRight w:val="0"/>
                  <w:marTop w:val="0"/>
                  <w:marBottom w:val="0"/>
                  <w:divBdr>
                    <w:top w:val="none" w:sz="0" w:space="0" w:color="auto"/>
                    <w:left w:val="none" w:sz="0" w:space="0" w:color="auto"/>
                    <w:bottom w:val="none" w:sz="0" w:space="0" w:color="auto"/>
                    <w:right w:val="none" w:sz="0" w:space="0" w:color="auto"/>
                  </w:divBdr>
                  <w:divsChild>
                    <w:div w:id="243339988">
                      <w:marLeft w:val="0"/>
                      <w:marRight w:val="0"/>
                      <w:marTop w:val="0"/>
                      <w:marBottom w:val="0"/>
                      <w:divBdr>
                        <w:top w:val="none" w:sz="0" w:space="0" w:color="auto"/>
                        <w:left w:val="none" w:sz="0" w:space="0" w:color="auto"/>
                        <w:bottom w:val="none" w:sz="0" w:space="0" w:color="auto"/>
                        <w:right w:val="none" w:sz="0" w:space="0" w:color="auto"/>
                      </w:divBdr>
                      <w:divsChild>
                        <w:div w:id="314921256">
                          <w:marLeft w:val="0"/>
                          <w:marRight w:val="0"/>
                          <w:marTop w:val="0"/>
                          <w:marBottom w:val="0"/>
                          <w:divBdr>
                            <w:top w:val="none" w:sz="0" w:space="0" w:color="auto"/>
                            <w:left w:val="none" w:sz="0" w:space="0" w:color="auto"/>
                            <w:bottom w:val="none" w:sz="0" w:space="0" w:color="auto"/>
                            <w:right w:val="none" w:sz="0" w:space="0" w:color="auto"/>
                          </w:divBdr>
                        </w:div>
                      </w:divsChild>
                    </w:div>
                    <w:div w:id="1836266917">
                      <w:marLeft w:val="0"/>
                      <w:marRight w:val="0"/>
                      <w:marTop w:val="0"/>
                      <w:marBottom w:val="0"/>
                      <w:divBdr>
                        <w:top w:val="none" w:sz="0" w:space="0" w:color="auto"/>
                        <w:left w:val="none" w:sz="0" w:space="0" w:color="auto"/>
                        <w:bottom w:val="none" w:sz="0" w:space="0" w:color="auto"/>
                        <w:right w:val="none" w:sz="0" w:space="0" w:color="auto"/>
                      </w:divBdr>
                    </w:div>
                    <w:div w:id="294870218">
                      <w:marLeft w:val="0"/>
                      <w:marRight w:val="0"/>
                      <w:marTop w:val="0"/>
                      <w:marBottom w:val="0"/>
                      <w:divBdr>
                        <w:top w:val="none" w:sz="0" w:space="0" w:color="auto"/>
                        <w:left w:val="none" w:sz="0" w:space="0" w:color="auto"/>
                        <w:bottom w:val="none" w:sz="0" w:space="0" w:color="auto"/>
                        <w:right w:val="none" w:sz="0" w:space="0" w:color="auto"/>
                      </w:divBdr>
                    </w:div>
                    <w:div w:id="1194534012">
                      <w:marLeft w:val="0"/>
                      <w:marRight w:val="0"/>
                      <w:marTop w:val="0"/>
                      <w:marBottom w:val="0"/>
                      <w:divBdr>
                        <w:top w:val="none" w:sz="0" w:space="0" w:color="auto"/>
                        <w:left w:val="none" w:sz="0" w:space="0" w:color="auto"/>
                        <w:bottom w:val="none" w:sz="0" w:space="0" w:color="auto"/>
                        <w:right w:val="none" w:sz="0" w:space="0" w:color="auto"/>
                      </w:divBdr>
                    </w:div>
                    <w:div w:id="1001548071">
                      <w:marLeft w:val="0"/>
                      <w:marRight w:val="0"/>
                      <w:marTop w:val="0"/>
                      <w:marBottom w:val="0"/>
                      <w:divBdr>
                        <w:top w:val="none" w:sz="0" w:space="0" w:color="auto"/>
                        <w:left w:val="none" w:sz="0" w:space="0" w:color="auto"/>
                        <w:bottom w:val="none" w:sz="0" w:space="0" w:color="auto"/>
                        <w:right w:val="none" w:sz="0" w:space="0" w:color="auto"/>
                      </w:divBdr>
                    </w:div>
                  </w:divsChild>
                </w:div>
                <w:div w:id="1245602213">
                  <w:marLeft w:val="0"/>
                  <w:marRight w:val="0"/>
                  <w:marTop w:val="0"/>
                  <w:marBottom w:val="0"/>
                  <w:divBdr>
                    <w:top w:val="none" w:sz="0" w:space="0" w:color="auto"/>
                    <w:left w:val="none" w:sz="0" w:space="0" w:color="auto"/>
                    <w:bottom w:val="none" w:sz="0" w:space="0" w:color="auto"/>
                    <w:right w:val="none" w:sz="0" w:space="0" w:color="auto"/>
                  </w:divBdr>
                  <w:divsChild>
                    <w:div w:id="1370185359">
                      <w:marLeft w:val="0"/>
                      <w:marRight w:val="0"/>
                      <w:marTop w:val="0"/>
                      <w:marBottom w:val="0"/>
                      <w:divBdr>
                        <w:top w:val="none" w:sz="0" w:space="0" w:color="auto"/>
                        <w:left w:val="none" w:sz="0" w:space="0" w:color="auto"/>
                        <w:bottom w:val="none" w:sz="0" w:space="0" w:color="auto"/>
                        <w:right w:val="none" w:sz="0" w:space="0" w:color="auto"/>
                      </w:divBdr>
                    </w:div>
                    <w:div w:id="1048260338">
                      <w:marLeft w:val="0"/>
                      <w:marRight w:val="0"/>
                      <w:marTop w:val="0"/>
                      <w:marBottom w:val="0"/>
                      <w:divBdr>
                        <w:top w:val="none" w:sz="0" w:space="0" w:color="auto"/>
                        <w:left w:val="none" w:sz="0" w:space="0" w:color="auto"/>
                        <w:bottom w:val="none" w:sz="0" w:space="0" w:color="auto"/>
                        <w:right w:val="none" w:sz="0" w:space="0" w:color="auto"/>
                      </w:divBdr>
                      <w:divsChild>
                        <w:div w:id="980043482">
                          <w:marLeft w:val="0"/>
                          <w:marRight w:val="0"/>
                          <w:marTop w:val="0"/>
                          <w:marBottom w:val="0"/>
                          <w:divBdr>
                            <w:top w:val="none" w:sz="0" w:space="0" w:color="auto"/>
                            <w:left w:val="none" w:sz="0" w:space="0" w:color="auto"/>
                            <w:bottom w:val="none" w:sz="0" w:space="0" w:color="auto"/>
                            <w:right w:val="none" w:sz="0" w:space="0" w:color="auto"/>
                          </w:divBdr>
                        </w:div>
                      </w:divsChild>
                    </w:div>
                    <w:div w:id="57752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569769">
      <w:bodyDiv w:val="1"/>
      <w:marLeft w:val="0"/>
      <w:marRight w:val="0"/>
      <w:marTop w:val="0"/>
      <w:marBottom w:val="0"/>
      <w:divBdr>
        <w:top w:val="none" w:sz="0" w:space="0" w:color="auto"/>
        <w:left w:val="none" w:sz="0" w:space="0" w:color="auto"/>
        <w:bottom w:val="none" w:sz="0" w:space="0" w:color="auto"/>
        <w:right w:val="none" w:sz="0" w:space="0" w:color="auto"/>
      </w:divBdr>
      <w:divsChild>
        <w:div w:id="376666797">
          <w:marLeft w:val="90"/>
          <w:marRight w:val="90"/>
          <w:marTop w:val="0"/>
          <w:marBottom w:val="90"/>
          <w:divBdr>
            <w:top w:val="single" w:sz="6" w:space="5" w:color="808080"/>
            <w:left w:val="single" w:sz="6" w:space="5" w:color="808080"/>
            <w:bottom w:val="single" w:sz="6" w:space="5" w:color="808080"/>
            <w:right w:val="single" w:sz="6" w:space="5" w:color="808080"/>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1092</Words>
  <Characters>6226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ilya.sbitnev</dc:creator>
  <cp:lastModifiedBy>пк</cp:lastModifiedBy>
  <cp:revision>2</cp:revision>
  <cp:lastPrinted>2014-12-26T09:03:00Z</cp:lastPrinted>
  <dcterms:created xsi:type="dcterms:W3CDTF">2015-02-12T15:06:00Z</dcterms:created>
  <dcterms:modified xsi:type="dcterms:W3CDTF">2015-02-12T15:06:00Z</dcterms:modified>
</cp:coreProperties>
</file>